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3197" w14:textId="086E62E0" w:rsidR="00DF2926" w:rsidRPr="0060725C" w:rsidRDefault="006072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Theme="minorEastAsia"/>
          <w:b/>
          <w:color w:val="000000"/>
          <w:sz w:val="36"/>
          <w:szCs w:val="36"/>
          <w:lang w:eastAsia="zh-TW"/>
        </w:rPr>
      </w:pPr>
      <w:r>
        <w:rPr>
          <w:rFonts w:eastAsiaTheme="minorEastAsia" w:hint="eastAsia"/>
          <w:b/>
          <w:color w:val="000000"/>
          <w:sz w:val="36"/>
          <w:szCs w:val="36"/>
          <w:lang w:eastAsia="zh-TW"/>
        </w:rPr>
        <w:t>新闻稿</w:t>
      </w:r>
    </w:p>
    <w:p w14:paraId="46B5A078" w14:textId="77777777" w:rsidR="00DF2926" w:rsidRDefault="00DF2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36"/>
          <w:szCs w:val="36"/>
        </w:rPr>
      </w:pPr>
    </w:p>
    <w:p w14:paraId="6B1E6756" w14:textId="00058D3F" w:rsidR="00BC22F5" w:rsidRDefault="00BC22F5" w:rsidP="009A62F0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</w:p>
    <w:p w14:paraId="2939A33B" w14:textId="2CA74872" w:rsidR="00DF2926" w:rsidRPr="009A62F0" w:rsidRDefault="00BC22F5" w:rsidP="009A62F0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bookmarkStart w:id="0" w:name="_Hlk192580309"/>
      <w:r w:rsidRPr="009940DA">
        <w:rPr>
          <w:rFonts w:ascii="SimSun" w:eastAsia="SimSun" w:hAnsi="SimSun" w:cstheme="minorHAnsi" w:hint="eastAsia"/>
          <w:b/>
          <w:bCs/>
          <w:color w:val="000000"/>
          <w:sz w:val="44"/>
          <w:szCs w:val="44"/>
        </w:rPr>
        <w:t>康佳特发布领先的</w:t>
      </w:r>
      <w:r w:rsidRPr="009940DA">
        <w:rPr>
          <w:rFonts w:ascii="SimSun" w:eastAsia="SimSun" w:hAnsi="SimSun" w:cstheme="minorHAnsi"/>
          <w:b/>
          <w:bCs/>
          <w:color w:val="000000"/>
          <w:sz w:val="44"/>
          <w:szCs w:val="44"/>
        </w:rPr>
        <w:t>AI</w:t>
      </w:r>
      <w:r w:rsidRPr="009940DA">
        <w:rPr>
          <w:rFonts w:ascii="SimSun" w:eastAsia="SimSun" w:hAnsi="SimSun" w:cstheme="minorHAnsi" w:hint="eastAsia"/>
          <w:b/>
          <w:bCs/>
          <w:color w:val="000000"/>
          <w:sz w:val="44"/>
          <w:szCs w:val="44"/>
        </w:rPr>
        <w:t>边缘计算模块</w:t>
      </w:r>
      <w:r w:rsidR="009940DA">
        <w:rPr>
          <w:rFonts w:asciiTheme="minorHAnsi" w:eastAsia="SimSun" w:hAnsiTheme="minorHAnsi" w:cstheme="minorHAnsi"/>
          <w:color w:val="000000"/>
          <w:sz w:val="36"/>
          <w:szCs w:val="36"/>
        </w:rPr>
        <w:br/>
      </w:r>
      <w:r w:rsidR="009A62F0" w:rsidRPr="009940DA">
        <w:rPr>
          <w:rStyle w:val="Strong"/>
          <w:rFonts w:asciiTheme="minorHAnsi" w:eastAsia="SimSun" w:hAnsiTheme="minorHAnsi" w:cstheme="minorHAnsi"/>
          <w:b w:val="0"/>
          <w:bCs w:val="0"/>
          <w:color w:val="404040"/>
          <w:sz w:val="28"/>
          <w:szCs w:val="28"/>
        </w:rPr>
        <w:t>搭载英特尔酷睿</w:t>
      </w:r>
      <w:r w:rsidR="009A62F0" w:rsidRPr="009940DA">
        <w:rPr>
          <w:rStyle w:val="Strong"/>
          <w:rFonts w:asciiTheme="minorHAnsi" w:eastAsia="SimSun" w:hAnsiTheme="minorHAnsi" w:cstheme="minorHAnsi"/>
          <w:b w:val="0"/>
          <w:bCs w:val="0"/>
          <w:color w:val="404040"/>
          <w:sz w:val="28"/>
          <w:szCs w:val="28"/>
        </w:rPr>
        <w:t>Ultra</w:t>
      </w:r>
      <w:r w:rsidR="009A62F0" w:rsidRPr="009940DA">
        <w:rPr>
          <w:rStyle w:val="Strong"/>
          <w:rFonts w:asciiTheme="minorHAnsi" w:eastAsia="SimSun" w:hAnsiTheme="minorHAnsi" w:cstheme="minorHAnsi"/>
          <w:b w:val="0"/>
          <w:bCs w:val="0"/>
          <w:color w:val="404040"/>
          <w:sz w:val="28"/>
          <w:szCs w:val="28"/>
        </w:rPr>
        <w:t>处理器</w:t>
      </w:r>
      <w:r w:rsidRPr="009940DA">
        <w:rPr>
          <w:rStyle w:val="Strong"/>
          <w:rFonts w:asciiTheme="minorHAnsi" w:eastAsia="SimSun" w:hAnsiTheme="minorHAnsi" w:cstheme="minorHAnsi"/>
          <w:b w:val="0"/>
          <w:bCs w:val="0"/>
          <w:color w:val="404040"/>
          <w:sz w:val="28"/>
          <w:szCs w:val="28"/>
          <w:lang w:eastAsia="zh-CN"/>
        </w:rPr>
        <w:t>解锁工业嵌入式新效能</w:t>
      </w:r>
    </w:p>
    <w:p w14:paraId="2337D997" w14:textId="77777777" w:rsidR="00DF2926" w:rsidRDefault="00D40402">
      <w:pPr>
        <w:rPr>
          <w:b/>
          <w:color w:val="000000"/>
          <w:sz w:val="36"/>
          <w:szCs w:val="36"/>
        </w:rPr>
      </w:pPr>
      <w:r>
        <w:rPr>
          <w:noProof/>
        </w:rPr>
        <w:drawing>
          <wp:inline distT="114300" distB="114300" distL="114300" distR="114300" wp14:anchorId="39A36396" wp14:editId="4C30336E">
            <wp:extent cx="5760410" cy="3835400"/>
            <wp:effectExtent l="0" t="0" r="0" b="0"/>
            <wp:docPr id="104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83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33073" w14:textId="77777777" w:rsidR="00DF2926" w:rsidRDefault="00DF2926"/>
    <w:p w14:paraId="39B31D90" w14:textId="0F8D7EF4" w:rsidR="00F540A8" w:rsidRPr="009940DA" w:rsidRDefault="00D40402" w:rsidP="00F540A8">
      <w:r>
        <w:rPr>
          <w:b/>
        </w:rPr>
        <w:t>2025</w:t>
      </w:r>
      <w:r w:rsidR="009940DA">
        <w:rPr>
          <w:b/>
        </w:rPr>
        <w:t>/3/12</w:t>
      </w:r>
      <w:r w:rsidR="007B3703">
        <w:rPr>
          <w:rFonts w:hint="eastAsia"/>
          <w:b/>
          <w:lang w:eastAsia="zh-TW"/>
        </w:rPr>
        <w:t>中国上海</w:t>
      </w:r>
      <w:r>
        <w:rPr>
          <w:b/>
        </w:rPr>
        <w:t xml:space="preserve"> </w:t>
      </w:r>
      <w:r>
        <w:t xml:space="preserve">* * * 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全球领先的嵌入式与边缘计算技术供应商德国康佳特，</w:t>
      </w:r>
      <w:r w:rsidR="00BC22F5" w:rsidRPr="00C62E79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推出</w:t>
      </w:r>
      <w:r w:rsidR="00C62E79" w:rsidRPr="00C62E79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全新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conga-TC750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计算机模块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(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COM Express Compact Type 6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规格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)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，显著提升医疗、机器人、工业、零售和游戏应用的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AI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性能，最高可达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99 TOPS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(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万亿次运算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/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秒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)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。该模块采用</w:t>
      </w:r>
      <w:r w:rsidR="007B3703" w:rsidRPr="00C62E79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第二代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英特尔酷睿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Ultra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处理器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 xml:space="preserve"> (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代号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Arrow Lake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)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，配备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Lion Cove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和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Skymont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架构的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P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核与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E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核，最高支持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16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核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22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线程，并集成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GPU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和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NPU</w:t>
      </w:r>
      <w:r w:rsidR="00F540A8" w:rsidRPr="00C62E79">
        <w:rPr>
          <w:rFonts w:asciiTheme="minorHAnsi" w:eastAsia="SimSun" w:hAnsiTheme="minorHAnsi" w:cstheme="minorHAnsi"/>
          <w:color w:val="000000" w:themeColor="text1"/>
          <w:sz w:val="24"/>
        </w:rPr>
        <w:t>。</w:t>
      </w:r>
    </w:p>
    <w:p w14:paraId="67000D39" w14:textId="77777777" w:rsidR="00DF2926" w:rsidRDefault="00DF2926"/>
    <w:p w14:paraId="1C6831AD" w14:textId="363A12C4" w:rsidR="00F540A8" w:rsidRPr="007B3703" w:rsidRDefault="007B3703" w:rsidP="00F540A8">
      <w:pPr>
        <w:rPr>
          <w:rFonts w:asciiTheme="minorHAnsi" w:eastAsia="SimSun" w:hAnsiTheme="minorHAnsi" w:cstheme="minorHAnsi"/>
          <w:color w:val="0070C0"/>
          <w:sz w:val="24"/>
        </w:rPr>
      </w:pPr>
      <w:r>
        <w:rPr>
          <w:rFonts w:asciiTheme="minorEastAsia" w:eastAsiaTheme="minorEastAsia" w:hAnsiTheme="minorEastAsia" w:cstheme="minorHAnsi" w:hint="eastAsia"/>
          <w:color w:val="0070C0"/>
          <w:sz w:val="24"/>
          <w:lang w:eastAsia="zh-TW"/>
        </w:rPr>
        <w:t xml:space="preserve">    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对于</w:t>
      </w:r>
      <w:r w:rsidR="006925C7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已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采用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COM Express Compact</w:t>
      </w:r>
      <w:r w:rsidRPr="007B3703">
        <w:rPr>
          <w:rFonts w:asciiTheme="minorHAnsi" w:eastAsia="SimSun" w:hAnsiTheme="minorHAnsi" w:cstheme="minorHAnsi"/>
          <w:color w:val="000000" w:themeColor="text1"/>
          <w:sz w:val="24"/>
        </w:rPr>
        <w:t>(95 mm x 95 mm)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平台，例如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conga-TC700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的开发者来说，</w:t>
      </w:r>
      <w:r w:rsidR="006925C7" w:rsidRPr="007B3703" w:rsidDel="006925C7">
        <w:rPr>
          <w:rFonts w:asciiTheme="minorHAnsi" w:eastAsia="SimSun" w:hAnsiTheme="minorHAnsi" w:cstheme="minorHAnsi"/>
          <w:color w:val="000000" w:themeColor="text1"/>
          <w:sz w:val="24"/>
        </w:rPr>
        <w:t xml:space="preserve"> 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conga-TC750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提供了快速升级路径，可直接获得</w:t>
      </w:r>
      <w:r w:rsidR="006925C7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更高的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AI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性能。尤其是对于</w:t>
      </w:r>
      <w:r w:rsidR="006925C7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那</w:t>
      </w:r>
      <w:r w:rsidR="006925C7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lastRenderedPageBreak/>
        <w:t>些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高性能需求的应用，</w:t>
      </w:r>
      <w:r w:rsidR="006925C7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譬如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图形和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AI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密集型应用，能通过英特尔全新的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SoC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芯片获得增强的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x86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和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AI</w:t>
      </w:r>
      <w:r w:rsidR="00F540A8" w:rsidRPr="007B3703">
        <w:rPr>
          <w:rFonts w:asciiTheme="minorHAnsi" w:eastAsia="SimSun" w:hAnsiTheme="minorHAnsi" w:cstheme="minorHAnsi"/>
          <w:color w:val="000000" w:themeColor="text1"/>
          <w:sz w:val="24"/>
        </w:rPr>
        <w:t>能力，以最小开发投入实现快速上市。</w:t>
      </w:r>
    </w:p>
    <w:p w14:paraId="57884E62" w14:textId="77777777" w:rsidR="00F540A8" w:rsidRDefault="00F540A8"/>
    <w:p w14:paraId="41D53B57" w14:textId="37172F95" w:rsidR="00A877AF" w:rsidRPr="007B3703" w:rsidRDefault="007B3703" w:rsidP="00A877AF">
      <w:pPr>
        <w:rPr>
          <w:rFonts w:asciiTheme="minorHAnsi" w:eastAsia="SimSun" w:hAnsiTheme="minorHAnsi" w:cstheme="minorHAnsi"/>
          <w:color w:val="0070C0"/>
          <w:sz w:val="24"/>
        </w:rPr>
      </w:pPr>
      <w:r>
        <w:rPr>
          <w:rFonts w:hint="eastAsia"/>
          <w:color w:val="0070C0"/>
          <w:lang w:eastAsia="zh-TW"/>
        </w:rPr>
        <w:t xml:space="preserve">    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该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SoC</w:t>
      </w:r>
      <w:r w:rsidRPr="007B3703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芯片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通过整合多种处理单元实现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99 TOPS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的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AI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性能：其中包括集成的英特尔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Xe-LPG+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图形处理器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(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iGPU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)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，为并行高吞吐量任务进行优化，提供最高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77 TOPS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（对比前代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Meteor Lake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的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18 TOPS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）；以及高能效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NPU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，提供最高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13 TOPS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；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CPU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则贡献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9 TOPS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，确保快速响应。此外，这款全新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SoC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还配备英特尔最新的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Xe-LPG+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图形引擎。凭借标准化模块设计，全新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conga-TC750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是高性能工控机和瘦客户端的理想选择，可通过更换模块，轻松升级。此外，医学影像、测试与测量、图形类应用也都将显著受益于该模块的卓越</w:t>
      </w:r>
      <w:r w:rsidR="00C92AB7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AI</w:t>
      </w:r>
      <w:r w:rsidR="00A877AF" w:rsidRPr="007B3703">
        <w:rPr>
          <w:rFonts w:asciiTheme="minorHAnsi" w:eastAsia="SimSun" w:hAnsiTheme="minorHAnsi" w:cstheme="minorHAnsi"/>
          <w:color w:val="000000" w:themeColor="text1"/>
          <w:sz w:val="24"/>
        </w:rPr>
        <w:t>性能。</w:t>
      </w:r>
    </w:p>
    <w:p w14:paraId="0AB7A22C" w14:textId="77777777" w:rsidR="00A877AF" w:rsidRDefault="00A877AF"/>
    <w:p w14:paraId="2562451D" w14:textId="0C4319E8" w:rsidR="008D575D" w:rsidRPr="007B3703" w:rsidRDefault="007B3703" w:rsidP="008D575D">
      <w:pPr>
        <w:rPr>
          <w:rStyle w:val="Strong"/>
          <w:rFonts w:asciiTheme="minorHAnsi" w:eastAsia="SimSun" w:hAnsiTheme="minorHAnsi" w:cstheme="minorHAnsi"/>
          <w:color w:val="0070C0"/>
          <w:sz w:val="24"/>
        </w:rPr>
      </w:pPr>
      <w:r>
        <w:rPr>
          <w:rFonts w:hint="eastAsia"/>
          <w:lang w:eastAsia="zh-TW"/>
        </w:rPr>
        <w:t xml:space="preserve">       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康佳特产品经理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Maximilian Gerstl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强调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 xml:space="preserve">  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“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全新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conga-TC750 COM Express Compact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模块，搭载</w:t>
      </w:r>
      <w:r w:rsidRPr="007B3703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第二代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英特尔酷睿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 xml:space="preserve">Ultra 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处理器，非常适合那些始终追求最新性能、并遵循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3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到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5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年创新周期的应用项目。模块化概念在这些应用下表现尤为出色，提供一个即插即用的计算核心，帮助开发者节省设计导入时间与成本，实现轻松扩展和更短的上市周期。通过更换模块并保留载板设计，开发者无需进行完整系统替换或重新设计，显著降低</w:t>
      </w:r>
      <w:r w:rsidR="00C92AB7" w:rsidRPr="007B3703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开发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费用与工作量。</w:t>
      </w:r>
      <w:r w:rsidR="008D575D" w:rsidRPr="007B3703">
        <w:rPr>
          <w:rFonts w:asciiTheme="minorHAnsi" w:eastAsia="SimSun" w:hAnsiTheme="minorHAnsi" w:cstheme="minorHAnsi"/>
          <w:color w:val="000000" w:themeColor="text1"/>
          <w:sz w:val="24"/>
        </w:rPr>
        <w:t>”</w:t>
      </w:r>
      <w:r w:rsidR="008D575D" w:rsidRPr="007B3703">
        <w:rPr>
          <w:rStyle w:val="Strong"/>
          <w:rFonts w:asciiTheme="minorHAnsi" w:eastAsia="SimSun" w:hAnsiTheme="minorHAnsi" w:cstheme="minorHAnsi"/>
          <w:color w:val="000000" w:themeColor="text1"/>
          <w:sz w:val="24"/>
        </w:rPr>
        <w:t xml:space="preserve"> </w:t>
      </w:r>
    </w:p>
    <w:p w14:paraId="638DC1AC" w14:textId="77777777" w:rsidR="00DF2926" w:rsidRDefault="00DF2926"/>
    <w:p w14:paraId="06047676" w14:textId="60E59E12" w:rsidR="00466C91" w:rsidRPr="00677175" w:rsidRDefault="008D575D" w:rsidP="00466C91">
      <w:pPr>
        <w:rPr>
          <w:rFonts w:asciiTheme="minorHAnsi" w:eastAsia="SimSun" w:hAnsiTheme="minorHAnsi" w:cstheme="minorHAnsi"/>
          <w:b/>
          <w:color w:val="000000" w:themeColor="text1"/>
          <w:sz w:val="24"/>
        </w:rPr>
      </w:pPr>
      <w:r w:rsidRPr="004B5476">
        <w:rPr>
          <w:rFonts w:ascii="SimSun" w:eastAsia="SimSun" w:hAnsi="SimSun" w:hint="eastAsia"/>
          <w:b/>
          <w:sz w:val="24"/>
          <w:lang w:eastAsia="zh-TW"/>
        </w:rPr>
        <w:t>详细功能特色</w:t>
      </w:r>
      <w:r w:rsidR="00466C91" w:rsidRPr="004B5476">
        <w:rPr>
          <w:rFonts w:ascii="SimSun" w:eastAsia="SimSun" w:hAnsi="SimSun"/>
          <w:sz w:val="24"/>
        </w:rPr>
        <w:br/>
      </w:r>
      <w:r w:rsidR="007E44AC">
        <w:rPr>
          <w:rFonts w:asciiTheme="minorHAnsi" w:eastAsia="SimSun" w:hAnsiTheme="minorHAnsi" w:cstheme="minorHAnsi" w:hint="cs"/>
          <w:color w:val="000000" w:themeColor="text1"/>
          <w:sz w:val="24"/>
        </w:rPr>
        <w:t xml:space="preserve"> </w:t>
      </w:r>
      <w:r w:rsidR="007E44AC">
        <w:rPr>
          <w:rFonts w:asciiTheme="minorHAnsi" w:eastAsia="SimSun" w:hAnsiTheme="minorHAnsi" w:cstheme="minorHAnsi"/>
          <w:color w:val="000000" w:themeColor="text1"/>
          <w:sz w:val="24"/>
        </w:rPr>
        <w:t xml:space="preserve">    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全新的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conga-TC750 COM Express Compact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模块</w:t>
      </w:r>
      <w:r w:rsidR="004B5476" w:rsidRPr="007E44AC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，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搭载</w:t>
      </w:r>
      <w:r w:rsidR="007B3703" w:rsidRPr="007E44AC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第二代英特尔酷睿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Ultra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处理器</w:t>
      </w:r>
      <w:r w:rsidR="007E44AC" w:rsidRPr="007E44AC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，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提供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5</w:t>
      </w:r>
      <w:r w:rsidR="00466C91" w:rsidRPr="007E44AC">
        <w:rPr>
          <w:rFonts w:asciiTheme="minorHAnsi" w:eastAsia="SimSun" w:hAnsiTheme="minorHAnsi" w:cstheme="minorHAnsi"/>
          <w:color w:val="000000" w:themeColor="text1"/>
          <w:sz w:val="24"/>
        </w:rPr>
        <w:t>年长期供货支持</w:t>
      </w:r>
      <w:r w:rsidR="004B5476" w:rsidRPr="007E44AC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，成为每</w:t>
      </w:r>
      <w:r w:rsidR="004B5476" w:rsidRPr="007E44AC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3-5</w:t>
      </w:r>
      <w:r w:rsidR="004B5476" w:rsidRPr="007E44AC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年需升级的高端应用的理想选择。</w:t>
      </w:r>
    </w:p>
    <w:p w14:paraId="58637A2A" w14:textId="77777777" w:rsidR="00DF2926" w:rsidRPr="00677175" w:rsidRDefault="00DF2926">
      <w:pPr>
        <w:rPr>
          <w:rFonts w:asciiTheme="minorHAnsi" w:eastAsia="SimSun" w:hAnsiTheme="minorHAnsi" w:cstheme="minorHAnsi"/>
          <w:color w:val="000000" w:themeColor="text1"/>
        </w:rPr>
      </w:pPr>
    </w:p>
    <w:p w14:paraId="357FAB0A" w14:textId="77777777" w:rsidR="00677175" w:rsidRDefault="00677175" w:rsidP="00422077">
      <w:pPr>
        <w:rPr>
          <w:rFonts w:asciiTheme="minorHAnsi" w:eastAsia="SimSun" w:hAnsiTheme="minorHAnsi" w:cstheme="minorHAnsi"/>
          <w:color w:val="000000" w:themeColor="text1"/>
        </w:rPr>
      </w:pPr>
      <w:r w:rsidRPr="00677175">
        <w:rPr>
          <w:rFonts w:asciiTheme="minorHAnsi" w:eastAsia="SimSun" w:hAnsiTheme="minorHAnsi" w:cstheme="minorHAnsi"/>
          <w:color w:val="000000" w:themeColor="text1"/>
          <w:lang w:eastAsia="zh-TW"/>
        </w:rPr>
        <w:t xml:space="preserve">      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除了强悍的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99 TOPS AI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性能外，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conga-TC750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还支持最高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128 GB DDR5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内存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 xml:space="preserve"> (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6400 MT/s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，</w:t>
      </w:r>
      <w:r w:rsidRPr="00677175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并支持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 xml:space="preserve"> ECC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)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，可选配最高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1 TB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的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NVMe x4 SSD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存储。为满足未来的连接需求，该模块配备基于英特尔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 xml:space="preserve"> i226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以太网控制器的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2.5 GbE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端口，并支持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TSN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。同时，丰富的外设连接包括最多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16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条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PCIe Gen4/5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通道、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2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个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USB4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接口、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4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个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USB3.2 Gen2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接口和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8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个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USB2.0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接口，以及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SATA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UART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GPIO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SPI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LPC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和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I2C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接口。支持的操作系统包括微软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 xml:space="preserve"> Windows 11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Windows 10/11 IoT Enterprise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ctrlX OS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Ubuntu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、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Linux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和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Yocto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。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conga-TC750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还</w:t>
      </w:r>
      <w:r w:rsidR="00C92AB7" w:rsidRPr="00677175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可以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通过集成的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Hypervisor</w:t>
      </w:r>
      <w:r w:rsidR="00C90780" w:rsidRPr="00677175">
        <w:rPr>
          <w:rFonts w:asciiTheme="minorHAnsi" w:eastAsia="SimSun" w:hAnsiTheme="minorHAnsi" w:cstheme="minorHAnsi"/>
          <w:color w:val="000000" w:themeColor="text1"/>
          <w:sz w:val="24"/>
        </w:rPr>
        <w:t>实现系统整合。</w:t>
      </w:r>
    </w:p>
    <w:p w14:paraId="6717E5EE" w14:textId="37647D46" w:rsidR="00422077" w:rsidRPr="00074C11" w:rsidRDefault="00677175" w:rsidP="00422077">
      <w:pPr>
        <w:rPr>
          <w:rFonts w:asciiTheme="minorHAnsi" w:eastAsia="SimSun" w:hAnsiTheme="minorHAnsi" w:cstheme="minorHAnsi"/>
          <w:color w:val="000000" w:themeColor="text1"/>
          <w:sz w:val="24"/>
        </w:rPr>
      </w:pPr>
      <w:r>
        <w:rPr>
          <w:rFonts w:asciiTheme="minorEastAsia" w:eastAsiaTheme="minorEastAsia" w:hAnsiTheme="minorEastAsia" w:cstheme="minorHAnsi" w:hint="eastAsia"/>
          <w:color w:val="000000" w:themeColor="text1"/>
          <w:lang w:eastAsia="zh-TW"/>
        </w:rPr>
        <w:lastRenderedPageBreak/>
        <w:t xml:space="preserve">        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此外，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conga-TC750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还提供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aReady.COM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即用型模块，用户可以选择预装博世力士乐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 xml:space="preserve"> (Bosch Rexroth) 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授权的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ctrlX OS</w:t>
      </w:r>
      <w:r w:rsidR="00C92AB7" w:rsidRPr="00074C11">
        <w:rPr>
          <w:rFonts w:asciiTheme="minorHAnsi" w:eastAsia="SimSun" w:hAnsiTheme="minorHAnsi" w:cstheme="minorHAnsi"/>
          <w:color w:val="000000" w:themeColor="text1"/>
          <w:sz w:val="24"/>
          <w:lang w:eastAsia="zh-CN"/>
        </w:rPr>
        <w:t>或者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Ubuntu Pro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系统。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aReady.VT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选项可帮助开发者在单一模块上整合多种工作负载，如实时控制、人机界面（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HMI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）、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AI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和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IoT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网关功能</w:t>
      </w:r>
      <w:r w:rsidRPr="00074C11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。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针对工业物联网</w:t>
      </w:r>
      <w:r w:rsidR="00074C11" w:rsidRPr="00074C11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 xml:space="preserve"> 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(I</w:t>
      </w:r>
      <w:r w:rsidR="00074C11" w:rsidRPr="00074C11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I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oT)</w:t>
      </w:r>
      <w:r w:rsidR="00074C11" w:rsidRPr="00074C11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 xml:space="preserve"> 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连接，康佳特提供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aReady.IOT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软件构件，支持模块、载板和外设的数据交换、维护管理以及按需的云连接。为了进一步简化应用开发，康佳特还提供完整的生态系统，包括评估和量产级载板、定制散热解决方案、详尽的文档资料</w:t>
      </w:r>
      <w:r w:rsidR="00074C11" w:rsidRPr="00074C11">
        <w:rPr>
          <w:rFonts w:asciiTheme="minorHAnsi" w:eastAsia="SimSun" w:hAnsiTheme="minorHAnsi" w:cstheme="minorHAnsi"/>
          <w:color w:val="000000" w:themeColor="text1"/>
          <w:sz w:val="24"/>
          <w:lang w:eastAsia="zh-TW"/>
        </w:rPr>
        <w:t>、</w:t>
      </w:r>
      <w:r w:rsidR="00422077" w:rsidRPr="00074C11">
        <w:rPr>
          <w:rFonts w:asciiTheme="minorHAnsi" w:eastAsia="SimSun" w:hAnsiTheme="minorHAnsi" w:cstheme="minorHAnsi"/>
          <w:color w:val="000000" w:themeColor="text1"/>
          <w:sz w:val="24"/>
        </w:rPr>
        <w:t>设计导入服务和高速信号完整性测试服务。</w:t>
      </w:r>
    </w:p>
    <w:p w14:paraId="26CF9F43" w14:textId="77777777" w:rsidR="00422077" w:rsidRPr="00074C11" w:rsidRDefault="00422077">
      <w:pPr>
        <w:rPr>
          <w:rFonts w:asciiTheme="minorHAnsi" w:eastAsia="SimSun" w:hAnsiTheme="minorHAnsi" w:cstheme="minorHAnsi"/>
          <w:sz w:val="24"/>
        </w:rPr>
      </w:pPr>
    </w:p>
    <w:p w14:paraId="7D4C1610" w14:textId="13FE88B7" w:rsidR="00DF2926" w:rsidRPr="00074C11" w:rsidRDefault="00422077">
      <w:pPr>
        <w:rPr>
          <w:rFonts w:asciiTheme="minorHAnsi" w:eastAsia="SimSun" w:hAnsiTheme="minorHAnsi" w:cstheme="minorHAnsi"/>
          <w:sz w:val="24"/>
        </w:rPr>
      </w:pPr>
      <w:r w:rsidRPr="00074C11">
        <w:rPr>
          <w:rFonts w:asciiTheme="minorHAnsi" w:eastAsia="SimSun" w:hAnsiTheme="minorHAnsi" w:cstheme="minorHAnsi"/>
          <w:sz w:val="24"/>
          <w:lang w:eastAsia="zh-TW"/>
        </w:rPr>
        <w:t>全新康佳特</w:t>
      </w:r>
      <w:r w:rsidRPr="00074C11">
        <w:rPr>
          <w:rFonts w:asciiTheme="minorHAnsi" w:eastAsia="SimSun" w:hAnsiTheme="minorHAnsi" w:cstheme="minorHAnsi"/>
          <w:sz w:val="24"/>
        </w:rPr>
        <w:t xml:space="preserve">conga-TC750 </w:t>
      </w:r>
      <w:r w:rsidRPr="00074C11">
        <w:rPr>
          <w:rFonts w:asciiTheme="minorHAnsi" w:eastAsia="SimSun" w:hAnsiTheme="minorHAnsi" w:cstheme="minorHAnsi"/>
          <w:sz w:val="24"/>
          <w:lang w:eastAsia="zh-TW"/>
        </w:rPr>
        <w:t>COM E</w:t>
      </w:r>
      <w:r w:rsidRPr="00074C11">
        <w:rPr>
          <w:rFonts w:asciiTheme="minorHAnsi" w:eastAsia="SimSun" w:hAnsiTheme="minorHAnsi" w:cstheme="minorHAnsi"/>
          <w:sz w:val="24"/>
        </w:rPr>
        <w:t xml:space="preserve">xpress Compact </w:t>
      </w:r>
      <w:r w:rsidRPr="00074C11">
        <w:rPr>
          <w:rFonts w:asciiTheme="minorHAnsi" w:eastAsia="SimSun" w:hAnsiTheme="minorHAnsi" w:cstheme="minorHAnsi"/>
          <w:sz w:val="24"/>
          <w:lang w:eastAsia="zh-TW"/>
        </w:rPr>
        <w:t>模块</w:t>
      </w:r>
      <w:r w:rsidRPr="00074C11">
        <w:rPr>
          <w:rFonts w:asciiTheme="minorHAnsi" w:eastAsia="SimSun" w:hAnsiTheme="minorHAnsi" w:cstheme="minorHAnsi"/>
          <w:sz w:val="24"/>
        </w:rPr>
        <w:t xml:space="preserve">, </w:t>
      </w:r>
      <w:r w:rsidRPr="00074C11">
        <w:rPr>
          <w:rFonts w:asciiTheme="minorHAnsi" w:eastAsia="SimSun" w:hAnsiTheme="minorHAnsi" w:cstheme="minorHAnsi"/>
          <w:sz w:val="24"/>
          <w:lang w:eastAsia="zh-TW"/>
        </w:rPr>
        <w:t>支持以下配置</w:t>
      </w:r>
      <w:r w:rsidRPr="00074C11">
        <w:rPr>
          <w:rFonts w:asciiTheme="minorHAnsi" w:eastAsia="SimSun" w:hAnsiTheme="minorHAnsi" w:cstheme="minorHAnsi"/>
          <w:sz w:val="24"/>
          <w:lang w:eastAsia="zh-TW"/>
        </w:rPr>
        <w:t>:</w:t>
      </w:r>
    </w:p>
    <w:tbl>
      <w:tblPr>
        <w:tblStyle w:val="af7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275"/>
        <w:gridCol w:w="1560"/>
        <w:gridCol w:w="1134"/>
        <w:gridCol w:w="2126"/>
        <w:gridCol w:w="1276"/>
      </w:tblGrid>
      <w:tr w:rsidR="00DF2926" w14:paraId="0AEE7DDC" w14:textId="77777777" w:rsidTr="00074C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5181" w14:textId="77777777" w:rsidR="00DF2926" w:rsidRDefault="00D4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BF12" w14:textId="77777777" w:rsidR="00DF2926" w:rsidRDefault="00D4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 TDP [W]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DD18" w14:textId="4B34D70D" w:rsidR="00DF2926" w:rsidRPr="00356A6C" w:rsidRDefault="00D40402">
            <w:pPr>
              <w:rPr>
                <w:b/>
                <w:sz w:val="20"/>
                <w:szCs w:val="20"/>
                <w:lang w:val="de-DE"/>
              </w:rPr>
            </w:pPr>
            <w:r w:rsidRPr="00356A6C">
              <w:rPr>
                <w:b/>
                <w:sz w:val="20"/>
                <w:szCs w:val="20"/>
                <w:lang w:val="de-DE"/>
              </w:rPr>
              <w:t xml:space="preserve">Cores/ </w:t>
            </w:r>
            <w:r w:rsidR="00074C11">
              <w:rPr>
                <w:b/>
                <w:sz w:val="20"/>
                <w:szCs w:val="20"/>
                <w:lang w:val="de-DE"/>
              </w:rPr>
              <w:br/>
            </w:r>
            <w:r w:rsidRPr="00356A6C">
              <w:rPr>
                <w:b/>
                <w:sz w:val="20"/>
                <w:szCs w:val="20"/>
                <w:lang w:val="de-DE"/>
              </w:rPr>
              <w:t>(P, E + LP-E)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CD78" w14:textId="77777777" w:rsidR="00DF2926" w:rsidRDefault="00D4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Threads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2FB6" w14:textId="77777777" w:rsidR="00DF2926" w:rsidRDefault="00D4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Base clock / Turbo [GHz]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3F05" w14:textId="77777777" w:rsidR="00DF2926" w:rsidRDefault="00D404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Execution Units</w:t>
            </w:r>
          </w:p>
        </w:tc>
      </w:tr>
      <w:tr w:rsidR="00DF2926" w14:paraId="752B4E3F" w14:textId="77777777" w:rsidTr="00074C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08A1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conga-TC750/ultra9-285H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1308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EE34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(6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01A2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54ED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P-cores: 2.9 / 5.4</w:t>
            </w:r>
          </w:p>
          <w:p w14:paraId="5A460753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E-cores: 2.7 / 4.5</w:t>
            </w:r>
          </w:p>
          <w:p w14:paraId="4B93E57A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LP E-cores: 1.0 / 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497F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 w:rsidR="00DF2926" w14:paraId="07F868AF" w14:textId="77777777" w:rsidTr="00074C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C12C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conga-TC750/ultra7-255H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793E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2B92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(6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572F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6311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P-cores: 2.0 / 5.1</w:t>
            </w:r>
          </w:p>
          <w:p w14:paraId="4C6A5779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E-cores: 1.5 / 4.4</w:t>
            </w:r>
          </w:p>
          <w:p w14:paraId="26AA8C15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LP E-cores: 0.7 / 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D446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 w:rsidR="00DF2926" w14:paraId="511AE4F8" w14:textId="77777777" w:rsidTr="00074C11">
        <w:trPr>
          <w:trHeight w:val="10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C0BD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conga-TC750/ultra7-255U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F137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D407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(2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CC90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76BE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P-cores: 2.0 / 5.2</w:t>
            </w:r>
          </w:p>
          <w:p w14:paraId="32AA4D56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E-cores: 1.7 / 4.2</w:t>
            </w:r>
          </w:p>
          <w:p w14:paraId="4A65AED0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LP E-cores: 0.7 / 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41D9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DF2926" w14:paraId="39F6539D" w14:textId="77777777" w:rsidTr="00074C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CE58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conga-TC750/ultra5-225H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CE0E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9886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(4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1150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1296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P-cores: 1.7 / 4.9</w:t>
            </w:r>
          </w:p>
          <w:p w14:paraId="26BDED3E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E-cores: 1.3 / 4.3</w:t>
            </w:r>
          </w:p>
          <w:p w14:paraId="5F433AD0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LP E-cores: 0.7 / 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2EDB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  <w:tr w:rsidR="00DF2926" w14:paraId="71277C01" w14:textId="77777777" w:rsidTr="00074C11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F86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conga-TC750/ultra5-225U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3814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2D49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(2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1114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F1A7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P-cores: 1.5 / 4.8</w:t>
            </w:r>
          </w:p>
          <w:p w14:paraId="6F194EC9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E-cores: 1.3 / 3.8</w:t>
            </w:r>
          </w:p>
          <w:p w14:paraId="38F05AEC" w14:textId="77777777" w:rsidR="00DF2926" w:rsidRPr="00356A6C" w:rsidRDefault="00D40402">
            <w:pPr>
              <w:rPr>
                <w:sz w:val="18"/>
                <w:szCs w:val="18"/>
                <w:lang w:val="fr-FR"/>
              </w:rPr>
            </w:pPr>
            <w:r w:rsidRPr="00356A6C">
              <w:rPr>
                <w:sz w:val="18"/>
                <w:szCs w:val="18"/>
                <w:lang w:val="fr-FR"/>
              </w:rPr>
              <w:t>LP E-cores: 0.7 / 2.4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EAC5" w14:textId="77777777" w:rsidR="00DF2926" w:rsidRDefault="00D4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</w:tbl>
    <w:p w14:paraId="12CD16B2" w14:textId="77777777" w:rsidR="00DF2926" w:rsidRDefault="00DF2926"/>
    <w:p w14:paraId="60EC6688" w14:textId="77777777" w:rsidR="00DF2926" w:rsidRDefault="00DF2926"/>
    <w:p w14:paraId="03440C88" w14:textId="21B5A065" w:rsidR="00422077" w:rsidRDefault="00422077">
      <w:r w:rsidRPr="00074C11">
        <w:rPr>
          <w:rFonts w:asciiTheme="minorHAnsi" w:eastAsia="SimSun" w:hAnsiTheme="minorHAnsi" w:cstheme="minorHAnsi"/>
          <w:sz w:val="24"/>
          <w:lang w:eastAsia="zh-TW"/>
        </w:rPr>
        <w:t>更多</w:t>
      </w:r>
      <w:r w:rsidRPr="00074C11">
        <w:rPr>
          <w:rFonts w:asciiTheme="minorHAnsi" w:eastAsia="SimSun" w:hAnsiTheme="minorHAnsi" w:cstheme="minorHAnsi"/>
          <w:sz w:val="24"/>
        </w:rPr>
        <w:t>conga-TC750</w:t>
      </w:r>
      <w:r w:rsidRPr="00074C11">
        <w:rPr>
          <w:rFonts w:asciiTheme="minorHAnsi" w:eastAsia="SimSun" w:hAnsiTheme="minorHAnsi" w:cstheme="minorHAnsi"/>
          <w:sz w:val="24"/>
          <w:lang w:eastAsia="zh-TW"/>
        </w:rPr>
        <w:t>模块详情</w:t>
      </w:r>
      <w:r w:rsidRPr="00074C11">
        <w:rPr>
          <w:rFonts w:asciiTheme="minorHAnsi" w:eastAsia="SimSun" w:hAnsiTheme="minorHAnsi" w:cstheme="minorHAnsi"/>
          <w:sz w:val="24"/>
          <w:lang w:eastAsia="zh-TW"/>
        </w:rPr>
        <w:t xml:space="preserve">, </w:t>
      </w:r>
      <w:r w:rsidRPr="00074C11">
        <w:rPr>
          <w:rFonts w:asciiTheme="minorHAnsi" w:eastAsia="SimSun" w:hAnsiTheme="minorHAnsi" w:cstheme="minorHAnsi"/>
          <w:sz w:val="24"/>
          <w:lang w:eastAsia="zh-TW"/>
        </w:rPr>
        <w:t>请拜访</w:t>
      </w:r>
      <w:r w:rsidRPr="00074C11">
        <w:rPr>
          <w:rFonts w:asciiTheme="minorHAnsi" w:eastAsia="SimSun" w:hAnsiTheme="minorHAnsi" w:cstheme="minorHAnsi"/>
          <w:sz w:val="24"/>
        </w:rPr>
        <w:t>:</w:t>
      </w:r>
      <w:r>
        <w:br/>
      </w:r>
      <w:hyperlink r:id="rId9" w:history="1">
        <w:r w:rsidR="00AE0ED2" w:rsidRPr="00AE39CD">
          <w:rPr>
            <w:rStyle w:val="Hyperlink"/>
          </w:rPr>
          <w:t>https://www.congatec.com/</w:t>
        </w:r>
        <w:r w:rsidR="00AE0ED2" w:rsidRPr="00AE39CD">
          <w:rPr>
            <w:rStyle w:val="Hyperlink"/>
            <w:rFonts w:hint="cs"/>
          </w:rPr>
          <w:t>e</w:t>
        </w:r>
        <w:r w:rsidR="00AE0ED2" w:rsidRPr="00AE39CD">
          <w:rPr>
            <w:rStyle w:val="Hyperlink"/>
          </w:rPr>
          <w:t>n/products/com-express-type-6/conga-tc750/</w:t>
        </w:r>
      </w:hyperlink>
      <w:r>
        <w:t xml:space="preserve">  </w:t>
      </w:r>
    </w:p>
    <w:p w14:paraId="5E0375D2" w14:textId="77777777" w:rsidR="00422077" w:rsidRDefault="00422077"/>
    <w:p w14:paraId="68264E43" w14:textId="3449A647" w:rsidR="00DF2926" w:rsidRDefault="00422077">
      <w:r w:rsidRPr="00074C11">
        <w:rPr>
          <w:rFonts w:asciiTheme="minorHAnsi" w:eastAsia="SimSun" w:hAnsiTheme="minorHAnsi" w:cstheme="minorHAnsi"/>
          <w:sz w:val="24"/>
          <w:lang w:eastAsia="zh-CN"/>
        </w:rPr>
        <w:t>更多</w:t>
      </w:r>
      <w:r w:rsidRPr="00074C11">
        <w:rPr>
          <w:rFonts w:asciiTheme="minorHAnsi" w:eastAsia="SimSun" w:hAnsiTheme="minorHAnsi" w:cstheme="minorHAnsi"/>
          <w:sz w:val="24"/>
        </w:rPr>
        <w:t xml:space="preserve">COM Express </w:t>
      </w:r>
      <w:r w:rsidRPr="00074C11">
        <w:rPr>
          <w:rFonts w:asciiTheme="minorHAnsi" w:eastAsia="SimSun" w:hAnsiTheme="minorHAnsi" w:cstheme="minorHAnsi"/>
          <w:sz w:val="24"/>
          <w:lang w:eastAsia="zh-CN"/>
        </w:rPr>
        <w:t>标准</w:t>
      </w:r>
      <w:r w:rsidRPr="00074C11">
        <w:rPr>
          <w:rFonts w:asciiTheme="minorHAnsi" w:eastAsia="SimSun" w:hAnsiTheme="minorHAnsi" w:cstheme="minorHAnsi"/>
          <w:sz w:val="24"/>
        </w:rPr>
        <w:t xml:space="preserve">, </w:t>
      </w:r>
      <w:r w:rsidRPr="00074C11">
        <w:rPr>
          <w:rFonts w:asciiTheme="minorHAnsi" w:eastAsia="SimSun" w:hAnsiTheme="minorHAnsi" w:cstheme="minorHAnsi"/>
          <w:sz w:val="24"/>
          <w:lang w:eastAsia="zh-CN"/>
        </w:rPr>
        <w:t>请拜访</w:t>
      </w:r>
      <w:r>
        <w:rPr>
          <w:rFonts w:hint="cs"/>
        </w:rPr>
        <w:t>:</w:t>
      </w:r>
      <w:r>
        <w:t xml:space="preserve"> </w:t>
      </w:r>
      <w:hyperlink r:id="rId10" w:history="1">
        <w:r w:rsidR="001C38C4">
          <w:rPr>
            <w:rStyle w:val="Hyperlink"/>
          </w:rPr>
          <w:t>COM Express Technology - congatec</w:t>
        </w:r>
      </w:hyperlink>
    </w:p>
    <w:bookmarkEnd w:id="0"/>
    <w:p w14:paraId="20955EE5" w14:textId="77777777" w:rsidR="00DF2926" w:rsidRDefault="00DF2926"/>
    <w:p w14:paraId="1D664904" w14:textId="77777777" w:rsidR="00DF2926" w:rsidRDefault="00D40402">
      <w:pPr>
        <w:jc w:val="center"/>
        <w:rPr>
          <w:color w:val="000000"/>
          <w:sz w:val="16"/>
          <w:szCs w:val="16"/>
        </w:rPr>
      </w:pPr>
      <w:r>
        <w:rPr>
          <w:sz w:val="16"/>
          <w:szCs w:val="16"/>
        </w:rPr>
        <w:t>* * *</w:t>
      </w:r>
    </w:p>
    <w:p w14:paraId="780BDF6A" w14:textId="77777777" w:rsidR="00DF2926" w:rsidRDefault="00DF29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7A86D1DA" w14:textId="77777777" w:rsidR="00DF2926" w:rsidRDefault="00DF29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rPr>
          <w:b/>
          <w:color w:val="000000"/>
          <w:sz w:val="16"/>
          <w:szCs w:val="16"/>
        </w:rPr>
      </w:pPr>
    </w:p>
    <w:p w14:paraId="53939F5D" w14:textId="77777777" w:rsidR="009A62F0" w:rsidRPr="001859F3" w:rsidRDefault="009A62F0" w:rsidP="009A62F0">
      <w:pPr>
        <w:spacing w:line="276" w:lineRule="auto"/>
        <w:rPr>
          <w:rFonts w:asciiTheme="minorHAnsi" w:eastAsia="SimSun" w:hAnsiTheme="minorHAnsi" w:cstheme="minorHAnsi"/>
          <w:sz w:val="18"/>
          <w:szCs w:val="18"/>
          <w:lang w:eastAsia="zh-CN"/>
        </w:rPr>
      </w:pPr>
      <w:bookmarkStart w:id="1" w:name="_Hlk186804350"/>
      <w:r w:rsidRPr="00263E49">
        <w:rPr>
          <w:rFonts w:asciiTheme="minorHAnsi" w:eastAsia="SimSun" w:hAnsiTheme="minorHAnsi" w:cstheme="minorHAnsi"/>
          <w:b/>
          <w:bCs/>
          <w:sz w:val="18"/>
          <w:szCs w:val="18"/>
          <w:lang w:eastAsia="zh-CN"/>
        </w:rPr>
        <w:lastRenderedPageBreak/>
        <w:t>关于康佳特</w:t>
      </w:r>
      <w:r w:rsidRPr="00894C78">
        <w:rPr>
          <w:sz w:val="16"/>
          <w:szCs w:val="16"/>
        </w:rPr>
        <w:br/>
      </w:r>
      <w:bookmarkEnd w:id="1"/>
      <w:r w:rsidRPr="001859F3">
        <w:rPr>
          <w:rFonts w:ascii="SimSun" w:eastAsia="SimSun" w:hAnsi="SimSun" w:hint="eastAsia"/>
          <w:sz w:val="18"/>
          <w:szCs w:val="18"/>
        </w:rPr>
        <w:t>德国康佳特是全球领先的高性能硬件和软件构件供应商，为基于计算机模块</w:t>
      </w:r>
      <w:r w:rsidRPr="001859F3">
        <w:rPr>
          <w:rFonts w:ascii="SimSun" w:eastAsia="SimSun" w:hAnsi="SimSun" w:hint="eastAsia"/>
          <w:sz w:val="18"/>
          <w:szCs w:val="18"/>
          <w:lang w:eastAsia="zh-CN"/>
        </w:rPr>
        <w:t>(</w:t>
      </w:r>
      <w:r w:rsidRPr="001859F3">
        <w:rPr>
          <w:rFonts w:ascii="SimSun" w:eastAsia="SimSun" w:hAnsi="SimSun"/>
          <w:sz w:val="18"/>
          <w:szCs w:val="18"/>
        </w:rPr>
        <w:t>COM</w:t>
      </w:r>
      <w:r w:rsidRPr="001859F3">
        <w:rPr>
          <w:rFonts w:ascii="SimSun" w:eastAsia="SimSun" w:hAnsi="SimSun" w:hint="eastAsia"/>
          <w:sz w:val="18"/>
          <w:szCs w:val="18"/>
          <w:lang w:eastAsia="zh-CN"/>
        </w:rPr>
        <w:t>)</w:t>
      </w:r>
      <w:r w:rsidRPr="001859F3">
        <w:rPr>
          <w:rFonts w:ascii="SimSun" w:eastAsia="SimSun" w:hAnsi="SimSun" w:hint="eastAsia"/>
          <w:sz w:val="18"/>
          <w:szCs w:val="18"/>
        </w:rPr>
        <w:t>的嵌入式和边缘计算解决方案提供硬件和软件构件。这些先进的计算机模块驱动着工业自动化、医疗技术、机器人、电信等行业的系统和设备。康佳特的高性能</w:t>
      </w:r>
      <w:r w:rsidRPr="001859F3">
        <w:rPr>
          <w:rFonts w:ascii="SimSun" w:eastAsia="SimSun" w:hAnsi="SimSun"/>
          <w:sz w:val="18"/>
          <w:szCs w:val="18"/>
        </w:rPr>
        <w:t>aReady.</w:t>
      </w:r>
      <w:r w:rsidRPr="001859F3">
        <w:rPr>
          <w:rFonts w:ascii="SimSun" w:eastAsia="SimSun" w:hAnsi="SimSun" w:hint="eastAsia"/>
          <w:sz w:val="18"/>
          <w:szCs w:val="18"/>
          <w:lang w:eastAsia="zh-CN"/>
        </w:rPr>
        <w:t xml:space="preserve"> </w:t>
      </w:r>
      <w:r w:rsidRPr="001859F3">
        <w:rPr>
          <w:rFonts w:ascii="SimSun" w:eastAsia="SimSun" w:hAnsi="SimSun" w:hint="eastAsia"/>
          <w:sz w:val="18"/>
          <w:szCs w:val="18"/>
        </w:rPr>
        <w:t>平台简化并加速了从模块到云的解决方案开发。这种应用就绪方法将模块与服务和可定制技术相结合，实现了系统整合、物联网、安全和人工智能领域的尖端进步。在其大股东</w:t>
      </w:r>
      <w:r w:rsidRPr="001859F3">
        <w:rPr>
          <w:rFonts w:ascii="SimSun" w:eastAsia="SimSun" w:hAnsi="SimSun"/>
          <w:sz w:val="18"/>
          <w:szCs w:val="18"/>
        </w:rPr>
        <w:t>DBAG Fund VIII</w:t>
      </w:r>
      <w:r w:rsidRPr="001859F3">
        <w:rPr>
          <w:rFonts w:ascii="SimSun" w:eastAsia="SimSun" w:hAnsi="SimSun" w:hint="eastAsia"/>
          <w:sz w:val="18"/>
          <w:szCs w:val="18"/>
        </w:rPr>
        <w:t>（一家专注于推动工业企业增长的德国中型市场基金）的支持下，康佳特拥有雄厚的资金支持和并购专长，能够抓住不断扩大的市场机遇。欲了解更多信息，请访问</w:t>
      </w:r>
      <w:hyperlink r:id="rId11" w:history="1">
        <w:r w:rsidRPr="001859F3">
          <w:rPr>
            <w:rFonts w:ascii="SimSun" w:eastAsia="SimSun" w:hAnsi="SimSun" w:cs="Calibri"/>
            <w:color w:val="0000FF"/>
            <w:sz w:val="18"/>
            <w:szCs w:val="18"/>
            <w:u w:val="single"/>
            <w:lang w:val="en-GB" w:eastAsia="zh-CN"/>
          </w:rPr>
          <w:t>www.congatec.cn</w:t>
        </w:r>
      </w:hyperlink>
      <w:r w:rsidRPr="001859F3">
        <w:rPr>
          <w:rFonts w:ascii="SimSun" w:eastAsia="SimSun" w:hAnsi="SimSun" w:cstheme="minorHAnsi" w:hint="eastAsia"/>
          <w:color w:val="000000"/>
          <w:sz w:val="18"/>
          <w:szCs w:val="18"/>
          <w:lang w:eastAsia="zh-TW"/>
        </w:rPr>
        <w:t xml:space="preserve">    </w:t>
      </w:r>
      <w:r w:rsidRPr="001859F3">
        <w:rPr>
          <w:rFonts w:ascii="SimSun" w:eastAsia="SimSun" w:hAnsi="SimSun" w:cstheme="minorHAnsi" w:hint="eastAsia"/>
          <w:color w:val="000000"/>
          <w:sz w:val="18"/>
          <w:szCs w:val="18"/>
        </w:rPr>
        <w:t>或关注</w:t>
      </w:r>
      <w:r w:rsidRPr="001859F3">
        <w:rPr>
          <w:rFonts w:ascii="SimSun" w:eastAsia="SimSun" w:hAnsi="SimSun" w:cstheme="minorHAnsi"/>
          <w:color w:val="000000"/>
          <w:sz w:val="18"/>
          <w:szCs w:val="18"/>
          <w:lang w:eastAsia="zh-CN"/>
        </w:rPr>
        <w:t>康佳特官方微信: congatec</w:t>
      </w:r>
      <w:r w:rsidRPr="001859F3">
        <w:rPr>
          <w:rFonts w:ascii="SimSun" w:eastAsia="SimSun" w:hAnsi="SimSun" w:cstheme="minorHAnsi" w:hint="eastAsia"/>
          <w:color w:val="000000"/>
          <w:sz w:val="18"/>
          <w:szCs w:val="18"/>
          <w:lang w:eastAsia="zh-TW"/>
        </w:rPr>
        <w:t xml:space="preserve">  </w:t>
      </w:r>
      <w:r w:rsidRPr="001859F3">
        <w:rPr>
          <w:rFonts w:ascii="SimSun" w:eastAsia="SimSun" w:hAnsi="SimSun" w:cstheme="minorHAnsi" w:hint="eastAsia"/>
          <w:color w:val="000000"/>
          <w:sz w:val="18"/>
          <w:szCs w:val="18"/>
          <w:lang w:eastAsia="zh-CN"/>
        </w:rPr>
        <w:t>与</w:t>
      </w:r>
      <w:r w:rsidRPr="001859F3">
        <w:rPr>
          <w:rFonts w:ascii="SimSun" w:eastAsia="SimSun" w:hAnsi="SimSun" w:cstheme="minorHAnsi"/>
          <w:color w:val="000000"/>
          <w:sz w:val="18"/>
          <w:szCs w:val="18"/>
          <w:lang w:eastAsia="zh-CN"/>
        </w:rPr>
        <w:t>康佳特官方微博</w:t>
      </w:r>
      <w:hyperlink r:id="rId12" w:history="1">
        <w:r w:rsidRPr="001859F3">
          <w:rPr>
            <w:rFonts w:ascii="SimSun" w:eastAsia="SimSun" w:hAnsi="SimSun" w:cstheme="minorHAnsi"/>
            <w:color w:val="0000FF"/>
            <w:sz w:val="18"/>
            <w:szCs w:val="18"/>
            <w:u w:val="single"/>
            <w:lang w:eastAsia="zh-CN"/>
          </w:rPr>
          <w:t>＠康佳特科技</w:t>
        </w:r>
      </w:hyperlink>
    </w:p>
    <w:p w14:paraId="607312C1" w14:textId="25AA2CA3" w:rsidR="00DF2926" w:rsidRDefault="00DF2926">
      <w:pPr>
        <w:rPr>
          <w:b/>
          <w:sz w:val="16"/>
          <w:szCs w:val="16"/>
        </w:rPr>
      </w:pPr>
    </w:p>
    <w:p w14:paraId="0C7F3439" w14:textId="07031B5E" w:rsidR="009A62F0" w:rsidRDefault="009A62F0">
      <w:pPr>
        <w:rPr>
          <w:b/>
          <w:sz w:val="16"/>
          <w:szCs w:val="16"/>
        </w:rPr>
      </w:pPr>
    </w:p>
    <w:tbl>
      <w:tblPr>
        <w:tblW w:w="9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342"/>
        <w:gridCol w:w="2597"/>
        <w:gridCol w:w="2597"/>
      </w:tblGrid>
      <w:tr w:rsidR="009A62F0" w14:paraId="0C28C78D" w14:textId="77777777" w:rsidTr="00D3167D">
        <w:trPr>
          <w:trHeight w:val="270"/>
        </w:trPr>
        <w:tc>
          <w:tcPr>
            <w:tcW w:w="2430" w:type="dxa"/>
          </w:tcPr>
          <w:p w14:paraId="4933E784" w14:textId="77777777" w:rsidR="009A62F0" w:rsidRDefault="009A62F0" w:rsidP="00D3167D">
            <w:pPr>
              <w:spacing w:after="40"/>
              <w:ind w:right="-1058"/>
              <w:rPr>
                <w:rFonts w:ascii="SimSun" w:hAnsi="SimSun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读者查询</w:t>
            </w: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2342" w:type="dxa"/>
          </w:tcPr>
          <w:p w14:paraId="67459FF9" w14:textId="77777777" w:rsidR="009A62F0" w:rsidRDefault="009A62F0" w:rsidP="00D3167D">
            <w:pPr>
              <w:spacing w:after="40"/>
              <w:rPr>
                <w:rFonts w:ascii="SimSun" w:hAnsi="SimSun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媒体联系</w:t>
            </w:r>
            <w:r>
              <w:rPr>
                <w:rFonts w:ascii="SimSun" w:hAnsi="SimSun"/>
                <w:b/>
                <w:bCs/>
                <w:sz w:val="18"/>
                <w:szCs w:val="18"/>
                <w:u w:val="single"/>
              </w:rPr>
              <w:t>:</w:t>
            </w:r>
          </w:p>
        </w:tc>
        <w:tc>
          <w:tcPr>
            <w:tcW w:w="2597" w:type="dxa"/>
          </w:tcPr>
          <w:p w14:paraId="7516F84F" w14:textId="77777777" w:rsidR="009A62F0" w:rsidRDefault="009A62F0" w:rsidP="00D3167D">
            <w:pPr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2597" w:type="dxa"/>
          </w:tcPr>
          <w:p w14:paraId="0D40DB46" w14:textId="77777777" w:rsidR="009A62F0" w:rsidRDefault="009A62F0" w:rsidP="00D3167D">
            <w:pPr>
              <w:rPr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</w:tr>
      <w:tr w:rsidR="009A62F0" w14:paraId="47E522BE" w14:textId="77777777" w:rsidTr="00D3167D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137C2BC4" w14:textId="77777777" w:rsidR="009A62F0" w:rsidRDefault="009A62F0" w:rsidP="00D3167D">
            <w:pPr>
              <w:spacing w:before="80" w:after="20" w:line="240" w:lineRule="auto"/>
              <w:ind w:right="-1058"/>
              <w:rPr>
                <w:rFonts w:ascii="SimSun" w:hAnsi="SimSun"/>
                <w:b/>
                <w:bCs/>
                <w:sz w:val="18"/>
                <w:szCs w:val="18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</w:rPr>
              <w:t>德国康佳特科技</w:t>
            </w:r>
          </w:p>
        </w:tc>
        <w:tc>
          <w:tcPr>
            <w:tcW w:w="2342" w:type="dxa"/>
          </w:tcPr>
          <w:p w14:paraId="1DA7B2E1" w14:textId="77777777" w:rsidR="009A62F0" w:rsidRDefault="009A62F0" w:rsidP="00D3167D">
            <w:pPr>
              <w:tabs>
                <w:tab w:val="left" w:pos="592"/>
              </w:tabs>
              <w:spacing w:before="80" w:after="20" w:line="240" w:lineRule="auto"/>
              <w:rPr>
                <w:rFonts w:ascii="SimSun" w:hAnsi="SimSun"/>
                <w:b/>
                <w:bCs/>
                <w:sz w:val="18"/>
                <w:szCs w:val="18"/>
              </w:rPr>
            </w:pPr>
            <w:r>
              <w:rPr>
                <w:rFonts w:ascii="SimSun" w:hAnsi="SimSun"/>
                <w:b/>
                <w:bCs/>
                <w:sz w:val="18"/>
                <w:szCs w:val="18"/>
              </w:rPr>
              <w:t>德国康佳特科技</w:t>
            </w:r>
          </w:p>
        </w:tc>
        <w:tc>
          <w:tcPr>
            <w:tcW w:w="2597" w:type="dxa"/>
          </w:tcPr>
          <w:p w14:paraId="45862FD0" w14:textId="77777777" w:rsidR="009A62F0" w:rsidRDefault="009A62F0" w:rsidP="00D3167D">
            <w:pPr>
              <w:tabs>
                <w:tab w:val="left" w:pos="592"/>
              </w:tabs>
              <w:spacing w:before="80" w:after="20" w:line="240" w:lineRule="auto"/>
              <w:rPr>
                <w:rFonts w:ascii="SimSun" w:hAnsi="SimSun"/>
                <w:b/>
                <w:bCs/>
                <w:sz w:val="18"/>
                <w:szCs w:val="18"/>
              </w:rPr>
            </w:pPr>
          </w:p>
        </w:tc>
      </w:tr>
      <w:tr w:rsidR="009A62F0" w14:paraId="7A42C4B5" w14:textId="77777777" w:rsidTr="00D3167D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3C72A73E" w14:textId="77777777" w:rsidR="009A62F0" w:rsidRDefault="009A62F0" w:rsidP="00D3167D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Becky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Lin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細明體" w:hAnsi="細明體"/>
                <w:sz w:val="18"/>
                <w:szCs w:val="18"/>
              </w:rPr>
              <w:t>林美慧</w:t>
            </w:r>
          </w:p>
        </w:tc>
        <w:tc>
          <w:tcPr>
            <w:tcW w:w="2342" w:type="dxa"/>
          </w:tcPr>
          <w:p w14:paraId="1586D5A9" w14:textId="77777777" w:rsidR="009A62F0" w:rsidRDefault="009A62F0" w:rsidP="00D3167D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Crysta Lee </w:t>
            </w:r>
            <w:r>
              <w:rPr>
                <w:rFonts w:ascii="細明體" w:hAnsi="細明體"/>
                <w:sz w:val="18"/>
                <w:szCs w:val="18"/>
                <w:lang w:eastAsia="zh-CN"/>
              </w:rPr>
              <w:t>李佳纯</w:t>
            </w:r>
          </w:p>
        </w:tc>
        <w:tc>
          <w:tcPr>
            <w:tcW w:w="2597" w:type="dxa"/>
          </w:tcPr>
          <w:p w14:paraId="70BF6997" w14:textId="77777777" w:rsidR="009A62F0" w:rsidRDefault="009A62F0" w:rsidP="00D3167D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9A62F0" w14:paraId="7A2E7F56" w14:textId="77777777" w:rsidTr="00D3167D">
        <w:trPr>
          <w:gridAfter w:val="1"/>
          <w:wAfter w:w="2597" w:type="dxa"/>
          <w:trHeight w:val="227"/>
        </w:trPr>
        <w:tc>
          <w:tcPr>
            <w:tcW w:w="2430" w:type="dxa"/>
          </w:tcPr>
          <w:p w14:paraId="6E814185" w14:textId="77777777" w:rsidR="009A62F0" w:rsidRDefault="009A62F0" w:rsidP="00D3167D">
            <w:pPr>
              <w:spacing w:before="20" w:after="20" w:line="240" w:lineRule="auto"/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: +86-21-60255862</w:t>
            </w:r>
          </w:p>
        </w:tc>
        <w:tc>
          <w:tcPr>
            <w:tcW w:w="2342" w:type="dxa"/>
          </w:tcPr>
          <w:p w14:paraId="6FBB8F90" w14:textId="77777777" w:rsidR="009A62F0" w:rsidRDefault="009A62F0" w:rsidP="00D3167D">
            <w:pPr>
              <w:spacing w:before="20" w:after="20" w:line="240" w:lineRule="auto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  <w:t>电话</w:t>
            </w:r>
            <w:r>
              <w:rPr>
                <w:rFonts w:ascii="Calibri" w:hAnsi="Calibri"/>
                <w:color w:val="000000"/>
                <w:sz w:val="18"/>
                <w:szCs w:val="18"/>
                <w:lang w:eastAsia="zh-CN"/>
              </w:rPr>
              <w:t>: +86-21-60255862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x</w:t>
            </w:r>
            <w:r>
              <w:rPr>
                <w:rFonts w:ascii="SimSun" w:hAnsi="SimSun"/>
                <w:color w:val="000000"/>
                <w:sz w:val="18"/>
                <w:szCs w:val="18"/>
                <w:lang w:eastAsia="zh-CN"/>
              </w:rPr>
              <w:t>8931</w:t>
            </w:r>
          </w:p>
        </w:tc>
        <w:tc>
          <w:tcPr>
            <w:tcW w:w="2597" w:type="dxa"/>
          </w:tcPr>
          <w:p w14:paraId="097F7815" w14:textId="77777777" w:rsidR="009A62F0" w:rsidRDefault="009A62F0" w:rsidP="00D3167D">
            <w:pPr>
              <w:spacing w:before="20" w:after="20" w:line="240" w:lineRule="auto"/>
              <w:rPr>
                <w:rFonts w:ascii="細明體" w:hAnsi="細明體"/>
                <w:color w:val="000000"/>
                <w:sz w:val="18"/>
                <w:szCs w:val="18"/>
                <w:lang w:eastAsia="zh-CN"/>
              </w:rPr>
            </w:pPr>
          </w:p>
        </w:tc>
      </w:tr>
      <w:tr w:rsidR="009A62F0" w14:paraId="76B28119" w14:textId="77777777" w:rsidTr="00D3167D">
        <w:trPr>
          <w:gridAfter w:val="1"/>
          <w:wAfter w:w="2597" w:type="dxa"/>
          <w:trHeight w:val="273"/>
        </w:trPr>
        <w:tc>
          <w:tcPr>
            <w:tcW w:w="2430" w:type="dxa"/>
          </w:tcPr>
          <w:p w14:paraId="64D811E8" w14:textId="77777777" w:rsidR="009A62F0" w:rsidRDefault="00000000" w:rsidP="00D3167D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</w:rPr>
            </w:pPr>
            <w:hyperlink r:id="rId13" w:history="1">
              <w:r w:rsidR="009A62F0">
                <w:rPr>
                  <w:rStyle w:val="Hyperlink"/>
                  <w:rFonts w:ascii="Calibri" w:hAnsi="Calibri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14:paraId="5033E14C" w14:textId="77777777" w:rsidR="009A62F0" w:rsidRDefault="009A62F0" w:rsidP="00D3167D">
            <w:pPr>
              <w:spacing w:before="20" w:after="20" w:line="240" w:lineRule="auto"/>
              <w:rPr>
                <w:rFonts w:ascii="新細明體" w:hAnsi="新細明體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</w:tcPr>
          <w:p w14:paraId="71570FA7" w14:textId="77777777" w:rsidR="009A62F0" w:rsidRDefault="009A62F0" w:rsidP="00D3167D">
            <w:pPr>
              <w:spacing w:before="20" w:after="20" w:line="240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34005ADA" w14:textId="77777777" w:rsidR="009A62F0" w:rsidRDefault="009A62F0" w:rsidP="00D3167D">
            <w:pPr>
              <w:spacing w:before="20" w:after="20" w:line="240" w:lineRule="auto"/>
              <w:rPr>
                <w:rFonts w:ascii="新細明體" w:hAnsi="新細明體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  <w:u w:val="single"/>
                <w:lang w:eastAsia="zh-CN"/>
              </w:rPr>
              <w:t>www.congatec.cn</w:t>
            </w:r>
          </w:p>
        </w:tc>
        <w:tc>
          <w:tcPr>
            <w:tcW w:w="2597" w:type="dxa"/>
          </w:tcPr>
          <w:p w14:paraId="0CAA274E" w14:textId="77777777" w:rsidR="009A62F0" w:rsidRDefault="009A62F0" w:rsidP="00D3167D">
            <w:pPr>
              <w:spacing w:before="20" w:after="20" w:line="240" w:lineRule="auto"/>
              <w:rPr>
                <w:rFonts w:ascii="Calibri" w:hAnsi="Calibri"/>
                <w:color w:val="0000FF"/>
                <w:sz w:val="18"/>
                <w:szCs w:val="18"/>
                <w:u w:val="single"/>
                <w:lang w:eastAsia="en-US"/>
              </w:rPr>
            </w:pPr>
          </w:p>
        </w:tc>
      </w:tr>
    </w:tbl>
    <w:p w14:paraId="1D3DA284" w14:textId="77777777" w:rsidR="009A62F0" w:rsidRDefault="009A62F0">
      <w:pPr>
        <w:rPr>
          <w:b/>
          <w:sz w:val="16"/>
          <w:szCs w:val="16"/>
        </w:rPr>
      </w:pPr>
    </w:p>
    <w:sectPr w:rsidR="009A62F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1961" w14:textId="77777777" w:rsidR="00B16ECB" w:rsidRDefault="00B16ECB">
      <w:pPr>
        <w:spacing w:line="240" w:lineRule="auto"/>
      </w:pPr>
      <w:r>
        <w:separator/>
      </w:r>
    </w:p>
  </w:endnote>
  <w:endnote w:type="continuationSeparator" w:id="0">
    <w:p w14:paraId="01FAFE27" w14:textId="77777777" w:rsidR="00B16ECB" w:rsidRDefault="00B16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676" w14:textId="683D258F" w:rsidR="00DF2926" w:rsidRDefault="00B913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D6D8B6" wp14:editId="4B7EF0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81DED" w14:textId="75E0D4CD" w:rsidR="00B9135B" w:rsidRPr="00B9135B" w:rsidRDefault="00B9135B" w:rsidP="00B9135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913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6D8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A381DED" w14:textId="75E0D4CD" w:rsidR="00B9135B" w:rsidRPr="00B9135B" w:rsidRDefault="00B9135B" w:rsidP="00B9135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913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41B30BE7" wp14:editId="0CDC6886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481965" cy="481965"/>
              <wp:effectExtent l="0" t="0" r="0" b="0"/>
              <wp:wrapNone/>
              <wp:docPr id="1041" name="Rectangle 1041" descr="congatec confidential information | This information is confidential and solely for the use of the recipient or entity and may not be reproduced or circulated without congatec prior written cons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596F0" w14:textId="77777777" w:rsidR="00DF2926" w:rsidRDefault="00D40402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spcFirstLastPara="1" wrap="square" lIns="25400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30BE7" id="Rectangle 1041" o:spid="_x0000_s1027" alt="congatec confidential information | This information is confidential and solely for the use of the recipient or entity and may not be reproduced or circulated without congatec prior written consent" style="position:absolute;margin-left:-71pt;margin-top:0;width:37.95pt;height:37.9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" filled="f" stroked="f">
              <v:textbox inset="20pt,0,0,15pt">
                <w:txbxContent>
                  <w:p w14:paraId="5A8596F0" w14:textId="77777777" w:rsidR="00DF2926" w:rsidRDefault="00D40402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B66E" w14:textId="09F6A34F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16287155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890756A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9B9B" w14:textId="46E023F4" w:rsidR="00DF2926" w:rsidRDefault="00DF292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9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DF2926" w14:paraId="6E8BA443" w14:textId="77777777">
      <w:trPr>
        <w:trHeight w:val="300"/>
      </w:trPr>
      <w:tc>
        <w:tcPr>
          <w:tcW w:w="3020" w:type="dxa"/>
        </w:tcPr>
        <w:p w14:paraId="204B6672" w14:textId="77777777" w:rsidR="00DF2926" w:rsidRDefault="00DF2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07A5F4CA" w14:textId="77777777" w:rsidR="00DF2926" w:rsidRDefault="00DF2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04ACA6E7" w14:textId="77777777" w:rsidR="00DF2926" w:rsidRDefault="00DF2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14:paraId="7E298EF4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47C22" w14:textId="77777777" w:rsidR="00B16ECB" w:rsidRDefault="00B16ECB">
      <w:pPr>
        <w:spacing w:line="240" w:lineRule="auto"/>
      </w:pPr>
      <w:r>
        <w:separator/>
      </w:r>
    </w:p>
  </w:footnote>
  <w:footnote w:type="continuationSeparator" w:id="0">
    <w:p w14:paraId="3B3B5BD1" w14:textId="77777777" w:rsidR="00B16ECB" w:rsidRDefault="00B16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49D4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E8F5097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4B136D06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434A538D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68901E5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4FEB" w14:textId="77777777" w:rsidR="00DF2926" w:rsidRDefault="00D4040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6"/>
        <w:szCs w:val="1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EA29AB8" wp14:editId="3F166DF8">
          <wp:simplePos x="0" y="0"/>
          <wp:positionH relativeFrom="column">
            <wp:posOffset>4048125</wp:posOffset>
          </wp:positionH>
          <wp:positionV relativeFrom="paragraph">
            <wp:posOffset>114300</wp:posOffset>
          </wp:positionV>
          <wp:extent cx="1866583" cy="802540"/>
          <wp:effectExtent l="0" t="0" r="0" b="0"/>
          <wp:wrapNone/>
          <wp:docPr id="104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583" cy="802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8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DF2926" w14:paraId="373071FA" w14:textId="77777777">
      <w:trPr>
        <w:trHeight w:val="300"/>
      </w:trPr>
      <w:tc>
        <w:tcPr>
          <w:tcW w:w="3020" w:type="dxa"/>
        </w:tcPr>
        <w:p w14:paraId="3B5690E3" w14:textId="77777777" w:rsidR="00DF2926" w:rsidRDefault="00DF2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030115E2" w14:textId="77777777" w:rsidR="00DF2926" w:rsidRDefault="00DF2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5BB12DA1" w14:textId="77777777" w:rsidR="00DF2926" w:rsidRDefault="00DF2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5"/>
            <w:jc w:val="right"/>
            <w:rPr>
              <w:color w:val="000000"/>
            </w:rPr>
          </w:pPr>
        </w:p>
      </w:tc>
    </w:tr>
  </w:tbl>
  <w:p w14:paraId="5891514C" w14:textId="77777777" w:rsidR="00DF2926" w:rsidRDefault="00DF2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26"/>
    <w:rsid w:val="00074C11"/>
    <w:rsid w:val="001C38C4"/>
    <w:rsid w:val="00356A6C"/>
    <w:rsid w:val="00422077"/>
    <w:rsid w:val="00466C91"/>
    <w:rsid w:val="004B5476"/>
    <w:rsid w:val="0060725C"/>
    <w:rsid w:val="00623CCD"/>
    <w:rsid w:val="00677175"/>
    <w:rsid w:val="006925C7"/>
    <w:rsid w:val="007B3703"/>
    <w:rsid w:val="007E44AC"/>
    <w:rsid w:val="008D575D"/>
    <w:rsid w:val="009940DA"/>
    <w:rsid w:val="009A62F0"/>
    <w:rsid w:val="00A877AF"/>
    <w:rsid w:val="00AE0ED2"/>
    <w:rsid w:val="00B1061C"/>
    <w:rsid w:val="00B16ECB"/>
    <w:rsid w:val="00B9135B"/>
    <w:rsid w:val="00BC22F5"/>
    <w:rsid w:val="00C62E79"/>
    <w:rsid w:val="00C90780"/>
    <w:rsid w:val="00C92AB7"/>
    <w:rsid w:val="00D26B7C"/>
    <w:rsid w:val="00D40402"/>
    <w:rsid w:val="00DF2926"/>
    <w:rsid w:val="00F5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A494D"/>
  <w15:docId w15:val="{734585CE-254B-41B5-AFA5-C8C75EAA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78"/>
    <w:pPr>
      <w:suppressAutoHyphens/>
    </w:pPr>
    <w:rPr>
      <w:rFonts w:cs="Times New Roman"/>
      <w:kern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F0C"/>
    <w:pPr>
      <w:spacing w:line="276" w:lineRule="auto"/>
      <w:outlineLvl w:val="0"/>
    </w:pPr>
    <w:rPr>
      <w:b/>
      <w:bCs/>
      <w:noProof/>
      <w:sz w:val="36"/>
      <w:szCs w:val="36"/>
      <w:lang w:eastAsia="de-D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E3CE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rsid w:val="00B54193"/>
    <w:rPr>
      <w:color w:val="0000FF"/>
      <w:u w:val="single"/>
    </w:rPr>
  </w:style>
  <w:style w:type="paragraph" w:customStyle="1" w:styleId="Standard1">
    <w:name w:val="Standard1"/>
    <w:uiPriority w:val="99"/>
    <w:rsid w:val="00467E79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6B62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7C"/>
    <w:rPr>
      <w:rFonts w:ascii="Tahoma" w:hAnsi="Tahoma" w:cs="Tahoma"/>
      <w:kern w:val="24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FD3"/>
    <w:rPr>
      <w:rFonts w:ascii="Arial" w:hAnsi="Arial" w:cs="Times New Roman"/>
      <w:kern w:val="24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FD3"/>
    <w:rPr>
      <w:rFonts w:ascii="Arial" w:hAnsi="Arial" w:cs="Times New Roman"/>
      <w:b/>
      <w:bCs/>
      <w:kern w:val="24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67F0C"/>
    <w:rPr>
      <w:rFonts w:ascii="Arial" w:hAnsi="Arial" w:cs="Times New Roman"/>
      <w:b/>
      <w:bCs/>
      <w:noProof/>
      <w:kern w:val="24"/>
      <w:sz w:val="36"/>
      <w:szCs w:val="3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8050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09"/>
    <w:rPr>
      <w:rFonts w:ascii="Arial" w:hAnsi="Arial" w:cs="Times New Roman"/>
      <w:kern w:val="24"/>
      <w:szCs w:val="24"/>
      <w:lang w:eastAsia="ar-SA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35D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60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customStyle="1" w:styleId="normaltextrun">
    <w:name w:val="normaltextrun"/>
    <w:basedOn w:val="DefaultParagraphFont"/>
    <w:rsid w:val="00DD6073"/>
  </w:style>
  <w:style w:type="character" w:customStyle="1" w:styleId="eop">
    <w:name w:val="eop"/>
    <w:basedOn w:val="DefaultParagraphFont"/>
    <w:rsid w:val="00DD6073"/>
  </w:style>
  <w:style w:type="paragraph" w:styleId="NormalWeb">
    <w:name w:val="Normal (Web)"/>
    <w:basedOn w:val="Normal"/>
    <w:uiPriority w:val="99"/>
    <w:semiHidden/>
    <w:unhideWhenUsed/>
    <w:rsid w:val="00D602E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30A97"/>
    <w:pPr>
      <w:spacing w:line="240" w:lineRule="auto"/>
    </w:pPr>
    <w:rPr>
      <w:rFonts w:cs="Times New Roman"/>
      <w:kern w:val="24"/>
      <w:szCs w:val="24"/>
      <w:lang w:eastAsia="ar-SA"/>
    </w:rPr>
  </w:style>
  <w:style w:type="character" w:customStyle="1" w:styleId="Erwhnung1">
    <w:name w:val="Erwähnung1"/>
    <w:basedOn w:val="DefaultParagraphFont"/>
    <w:uiPriority w:val="99"/>
    <w:unhideWhenUsed/>
    <w:rsid w:val="009C2FFF"/>
    <w:rPr>
      <w:color w:val="2B579A"/>
      <w:shd w:val="clear" w:color="auto" w:fill="E1DFDD"/>
    </w:rPr>
  </w:style>
  <w:style w:type="table" w:customStyle="1" w:styleId="TableNormal100">
    <w:name w:val="Table Normal10"/>
    <w:rsid w:val="00323A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67034"/>
    <w:rPr>
      <w:color w:val="800080" w:themeColor="followedHyperlink"/>
      <w:u w:val="single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efaultParagraphFont"/>
    <w:rsid w:val="00E90C2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A77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zh-TW"/>
    </w:r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E4BEE"/>
    <w:rPr>
      <w:color w:val="605E5C"/>
      <w:shd w:val="clear" w:color="auto" w:fill="E1DFDD"/>
    </w:rPr>
  </w:style>
  <w:style w:type="table" w:customStyle="1" w:styleId="a8">
    <w:basedOn w:val="TableNormal1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EF3419"/>
    <w:rPr>
      <w:b/>
      <w:bCs/>
    </w:r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72"/>
    <w:qFormat/>
    <w:rsid w:val="002C0D1E"/>
    <w:pPr>
      <w:suppressAutoHyphens w:val="0"/>
      <w:spacing w:line="240" w:lineRule="auto"/>
      <w:ind w:left="720"/>
      <w:contextualSpacing/>
    </w:pPr>
    <w:rPr>
      <w:rFonts w:eastAsia="Times New Roman" w:cs="Arial"/>
      <w:noProof/>
      <w:kern w:val="0"/>
      <w:sz w:val="24"/>
      <w:lang w:val="en-GB" w:eastAsia="en-US"/>
    </w:rPr>
  </w:style>
  <w:style w:type="table" w:customStyle="1" w:styleId="ae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ales-asia@congatec.co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ibo.com/congatec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ongatec.com/cn/%E6%8A%80%E6%9C%AF/com-expres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gatec.com/en/products/com-express-type-6/conga-tc750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gAd+8k9ElLj2HwwKIakx73HGZQ==">CgMxLjA4AHIhMWw0N3o2dnZKeGZYVkdrZzdtVnV4X0xKcWNMd3JaNmxT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BBC7E3-578F-4924-897E-AB3E2BC5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Scharnberg (DE)</dc:creator>
  <cp:lastModifiedBy>Crysta Lee</cp:lastModifiedBy>
  <cp:revision>6</cp:revision>
  <dcterms:created xsi:type="dcterms:W3CDTF">2025-03-11T00:38:00Z</dcterms:created>
  <dcterms:modified xsi:type="dcterms:W3CDTF">2025-03-11T02:15:00Z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2025-03-07T06:49:29Z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0f077d98-aea4-47d4-afdf-ce65b969e2ab</vt:lpwstr>
  </property>
  <property fmtid="{D5CDD505-2E9C-101B-9397-08002B2CF9AE}" pid="11" name="MSIP_Label_cffacaf4-12c9-4a18-9e17-a1a61701c062_ContentBits">
    <vt:lpwstr>2</vt:lpwstr>
  </property>
</Properties>
</file>