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7172" w:rsidRDefault="001042FF">
      <w:pPr>
        <w:pStyle w:val="berschrift1"/>
      </w:pPr>
      <w:r>
        <w:t xml:space="preserve">Press release </w:t>
      </w:r>
      <w:r>
        <w:rPr>
          <w:noProof/>
        </w:rPr>
        <w:drawing>
          <wp:anchor distT="0" distB="0" distL="114300" distR="114300" simplePos="0" relativeHeight="251658240" behindDoc="0" locked="0" layoutInCell="1" hidden="0" allowOverlap="1" wp14:anchorId="10D1BD75" wp14:editId="595DE4FA">
            <wp:simplePos x="0" y="0"/>
            <wp:positionH relativeFrom="column">
              <wp:posOffset>4349839</wp:posOffset>
            </wp:positionH>
            <wp:positionV relativeFrom="paragraph">
              <wp:posOffset>-345912</wp:posOffset>
            </wp:positionV>
            <wp:extent cx="1150531" cy="903767"/>
            <wp:effectExtent l="0" t="0" r="0" b="0"/>
            <wp:wrapNone/>
            <wp:docPr id="16"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00000002" w14:textId="77777777" w:rsidR="00F77172" w:rsidRDefault="00F77172">
      <w:pPr>
        <w:pStyle w:val="berschrift1"/>
      </w:pPr>
    </w:p>
    <w:p w14:paraId="00000003" w14:textId="77777777" w:rsidR="00F77172" w:rsidRDefault="00F77172">
      <w:pPr>
        <w:pStyle w:val="berschrift1"/>
      </w:pPr>
    </w:p>
    <w:p w14:paraId="00000005" w14:textId="6C21D894" w:rsidR="00F77172" w:rsidRDefault="001042FF">
      <w:bookmarkStart w:id="0" w:name="_heading=h.gjdgxs" w:colFirst="0" w:colLast="0"/>
      <w:bookmarkEnd w:id="0"/>
      <w:r>
        <w:t xml:space="preserve">congatec introduces new SMARC modules with TI </w:t>
      </w:r>
      <w:sdt>
        <w:sdtPr>
          <w:tag w:val="goog_rdk_0"/>
          <w:id w:val="-501818030"/>
        </w:sdtPr>
        <w:sdtContent/>
      </w:sdt>
      <w:r>
        <w:t>Jacinto</w:t>
      </w:r>
      <w:r w:rsidR="00721DA4">
        <w:t>™</w:t>
      </w:r>
      <w:r>
        <w:t xml:space="preserve"> 7</w:t>
      </w:r>
      <w:r w:rsidR="00EA6049">
        <w:t xml:space="preserve"> TDA4x or DRA8x</w:t>
      </w:r>
      <w:r>
        <w:t xml:space="preserve"> processors</w:t>
      </w:r>
    </w:p>
    <w:p w14:paraId="697E92A2" w14:textId="77777777" w:rsidR="00A64096" w:rsidRDefault="00A64096"/>
    <w:p w14:paraId="51CFC9AD" w14:textId="6B7EEB21" w:rsidR="00D25EE4" w:rsidRDefault="001042FF">
      <w:pPr>
        <w:rPr>
          <w:b/>
        </w:rPr>
      </w:pPr>
      <w:r>
        <w:rPr>
          <w:b/>
          <w:sz w:val="30"/>
          <w:szCs w:val="30"/>
        </w:rPr>
        <w:t xml:space="preserve">High-end edge AI </w:t>
      </w:r>
      <w:r w:rsidR="00E81B20">
        <w:rPr>
          <w:b/>
          <w:sz w:val="30"/>
          <w:szCs w:val="30"/>
        </w:rPr>
        <w:t xml:space="preserve">and vision processing </w:t>
      </w:r>
      <w:r>
        <w:rPr>
          <w:b/>
          <w:sz w:val="30"/>
          <w:szCs w:val="30"/>
        </w:rPr>
        <w:t xml:space="preserve">in </w:t>
      </w:r>
      <w:r w:rsidR="008F34FC">
        <w:rPr>
          <w:b/>
          <w:sz w:val="30"/>
          <w:szCs w:val="30"/>
        </w:rPr>
        <w:t>ultra-low</w:t>
      </w:r>
      <w:r>
        <w:rPr>
          <w:b/>
          <w:sz w:val="30"/>
          <w:szCs w:val="30"/>
        </w:rPr>
        <w:t xml:space="preserve"> power envelop</w:t>
      </w:r>
    </w:p>
    <w:p w14:paraId="421A8DD8" w14:textId="7F0F32FE" w:rsidR="00837935" w:rsidRDefault="00837935">
      <w:pPr>
        <w:rPr>
          <w:b/>
        </w:rPr>
      </w:pPr>
    </w:p>
    <w:p w14:paraId="05242A98" w14:textId="05B51F28" w:rsidR="00837935" w:rsidRDefault="00837935">
      <w:pPr>
        <w:rPr>
          <w:b/>
        </w:rPr>
      </w:pPr>
      <w:r>
        <w:rPr>
          <w:b/>
          <w:noProof/>
        </w:rPr>
        <w:drawing>
          <wp:inline distT="0" distB="0" distL="0" distR="0" wp14:anchorId="10790053" wp14:editId="0D0E2BE0">
            <wp:extent cx="5579110" cy="37211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110" cy="3721100"/>
                    </a:xfrm>
                    <a:prstGeom prst="rect">
                      <a:avLst/>
                    </a:prstGeom>
                    <a:noFill/>
                    <a:ln>
                      <a:noFill/>
                    </a:ln>
                  </pic:spPr>
                </pic:pic>
              </a:graphicData>
            </a:graphic>
          </wp:inline>
        </w:drawing>
      </w:r>
    </w:p>
    <w:p w14:paraId="68C91846" w14:textId="77777777" w:rsidR="00837935" w:rsidRDefault="00837935">
      <w:pPr>
        <w:rPr>
          <w:b/>
        </w:rPr>
      </w:pPr>
    </w:p>
    <w:p w14:paraId="00000009" w14:textId="0F147A79" w:rsidR="00F77172" w:rsidRDefault="001042FF">
      <w:r w:rsidRPr="00040D36">
        <w:rPr>
          <w:b/>
        </w:rPr>
        <w:t xml:space="preserve">Deggendorf, Germany, </w:t>
      </w:r>
      <w:r w:rsidR="005307C5">
        <w:rPr>
          <w:b/>
        </w:rPr>
        <w:t>28</w:t>
      </w:r>
      <w:sdt>
        <w:sdtPr>
          <w:tag w:val="goog_rdk_1"/>
          <w:id w:val="313466279"/>
        </w:sdtPr>
        <w:sdtContent/>
      </w:sdt>
      <w:r w:rsidRPr="006D6CA1">
        <w:rPr>
          <w:b/>
        </w:rPr>
        <w:t xml:space="preserve"> </w:t>
      </w:r>
      <w:r w:rsidRPr="00040D36">
        <w:rPr>
          <w:b/>
        </w:rPr>
        <w:t>September 2023 * * *</w:t>
      </w:r>
      <w:r w:rsidRPr="00040D36">
        <w:t xml:space="preserve"> congatec</w:t>
      </w:r>
      <w:r w:rsidR="008F34FC" w:rsidRPr="00040D36">
        <w:t xml:space="preserve"> - </w:t>
      </w:r>
      <w:r w:rsidRPr="00040D36">
        <w:t>a leading vendor of</w:t>
      </w:r>
      <w:r>
        <w:t xml:space="preserve"> embedded and edge computing technology</w:t>
      </w:r>
      <w:r w:rsidR="008F34FC">
        <w:t xml:space="preserve"> -</w:t>
      </w:r>
      <w:r>
        <w:t xml:space="preserve"> has announced the launch of its latest SMARC </w:t>
      </w:r>
      <w:r w:rsidR="00CF469F">
        <w:t xml:space="preserve">Module 2.1 </w:t>
      </w:r>
      <w:r>
        <w:t xml:space="preserve">Computer-on-Modules based on Texas Instruments </w:t>
      </w:r>
      <w:r w:rsidR="00721DA4">
        <w:t xml:space="preserve">Jacinto™ </w:t>
      </w:r>
      <w:r>
        <w:t xml:space="preserve">7 </w:t>
      </w:r>
      <w:r w:rsidR="00EA6049">
        <w:t xml:space="preserve">TDA4x or DRA8x </w:t>
      </w:r>
      <w:r>
        <w:t xml:space="preserve">processors. These new </w:t>
      </w:r>
      <w:r w:rsidR="00B22643">
        <w:t xml:space="preserve">industrial-grade </w:t>
      </w:r>
      <w:r>
        <w:t xml:space="preserve">Computer-on-Modules </w:t>
      </w:r>
      <w:r w:rsidR="009665EE">
        <w:t>are ideal for high-performance AI edge applications with an ultra-low power (ULP) envelop</w:t>
      </w:r>
      <w:r w:rsidR="00AD79BA">
        <w:t>e</w:t>
      </w:r>
      <w:r w:rsidR="009665EE">
        <w:t xml:space="preserve"> </w:t>
      </w:r>
      <w:r>
        <w:t>featur</w:t>
      </w:r>
      <w:r w:rsidR="009665EE">
        <w:t>ing</w:t>
      </w:r>
      <w:r>
        <w:t xml:space="preserve"> dual Arm Cortex-A72 processors, powerful AI accelerators, and 3D graphics</w:t>
      </w:r>
      <w:r w:rsidR="00B150B7">
        <w:t xml:space="preserve">. </w:t>
      </w:r>
      <w:r>
        <w:t xml:space="preserve">The </w:t>
      </w:r>
      <w:r w:rsidR="00AD79BA">
        <w:t xml:space="preserve">conga-STDA4 modules consuming </w:t>
      </w:r>
      <w:r>
        <w:t>only 5 to 10 Watt</w:t>
      </w:r>
      <w:r w:rsidR="00AD79BA">
        <w:t>,</w:t>
      </w:r>
      <w:r>
        <w:t xml:space="preserve"> target industrial mobile machinery that requires </w:t>
      </w:r>
      <w:r w:rsidR="00B22643">
        <w:t xml:space="preserve">2d/3d </w:t>
      </w:r>
      <w:r>
        <w:t>camera, radar, and lidar</w:t>
      </w:r>
      <w:r w:rsidR="0019718E">
        <w:t xml:space="preserve"> </w:t>
      </w:r>
      <w:r>
        <w:t>based near-field analytics, such as automated guided vehicles</w:t>
      </w:r>
      <w:r w:rsidR="00B22643">
        <w:t xml:space="preserve"> (AGVs)</w:t>
      </w:r>
      <w:r>
        <w:t xml:space="preserve"> and autonomous mobile robots (AMRs), as well </w:t>
      </w:r>
      <w:r w:rsidR="00EE6962">
        <w:t xml:space="preserve">as </w:t>
      </w:r>
      <w:r>
        <w:t xml:space="preserve">applications in construction and agricultural machinery. They are also suitable for any </w:t>
      </w:r>
      <w:r>
        <w:lastRenderedPageBreak/>
        <w:t xml:space="preserve">vision-focused industrial </w:t>
      </w:r>
      <w:r w:rsidR="00B10892">
        <w:t xml:space="preserve">automation </w:t>
      </w:r>
      <w:r>
        <w:t>or medical solution</w:t>
      </w:r>
      <w:r w:rsidR="00B10892">
        <w:t>s</w:t>
      </w:r>
      <w:r>
        <w:t xml:space="preserve"> that require powerful and energy-efficient AI process</w:t>
      </w:r>
      <w:r w:rsidR="008F34FC">
        <w:t>ing</w:t>
      </w:r>
      <w:r>
        <w:t xml:space="preserve"> at the edge.</w:t>
      </w:r>
    </w:p>
    <w:p w14:paraId="0000000A" w14:textId="77777777" w:rsidR="00F77172" w:rsidRDefault="00F77172"/>
    <w:p w14:paraId="0000000B" w14:textId="0482B883" w:rsidR="00F77172" w:rsidRDefault="001042FF" w:rsidP="4E2264CF">
      <w:r>
        <w:t xml:space="preserve">The </w:t>
      </w:r>
      <w:r w:rsidR="00B10892">
        <w:t xml:space="preserve">new </w:t>
      </w:r>
      <w:r>
        <w:t xml:space="preserve">SMARC modules come with </w:t>
      </w:r>
      <w:r w:rsidR="00B10892">
        <w:t xml:space="preserve">two </w:t>
      </w:r>
      <w:r>
        <w:t>MIPI CSI camera input</w:t>
      </w:r>
      <w:r w:rsidR="00B10892">
        <w:t xml:space="preserve">s. The TDA4x </w:t>
      </w:r>
      <w:proofErr w:type="gramStart"/>
      <w:r w:rsidR="00B10892">
        <w:t>processor based</w:t>
      </w:r>
      <w:proofErr w:type="gramEnd"/>
      <w:r w:rsidR="00B10892">
        <w:t xml:space="preserve"> conga-STDA4 adds an </w:t>
      </w:r>
      <w:r>
        <w:t>Image Signal Processor</w:t>
      </w:r>
      <w:r w:rsidR="00B10892">
        <w:t xml:space="preserve"> (ISP)</w:t>
      </w:r>
      <w:r>
        <w:t xml:space="preserve">, vision accelerators, and </w:t>
      </w:r>
      <w:r w:rsidR="13FF4C18">
        <w:t>p</w:t>
      </w:r>
      <w:r w:rsidR="13FF4C18" w:rsidRPr="4E2264CF">
        <w:rPr>
          <w:rFonts w:eastAsia="Arial"/>
        </w:rPr>
        <w:t>re-trained AI models from</w:t>
      </w:r>
      <w:r w:rsidR="00EE6962">
        <w:rPr>
          <w:rFonts w:eastAsia="Arial"/>
        </w:rPr>
        <w:t xml:space="preserve"> the</w:t>
      </w:r>
      <w:r w:rsidR="13FF4C18" w:rsidRPr="4E2264CF">
        <w:rPr>
          <w:rFonts w:eastAsia="Arial"/>
        </w:rPr>
        <w:t xml:space="preserve"> TI Model Zoo</w:t>
      </w:r>
      <w:r>
        <w:t xml:space="preserve">, allowing for a seamless start into AI-powered application development. Additionally, it includes a Robotic SDK for enhanced functionality. The DRA8x variants offer a cost-efficient option without vision </w:t>
      </w:r>
      <w:r w:rsidR="004F5325">
        <w:t xml:space="preserve">processing </w:t>
      </w:r>
      <w:r>
        <w:t xml:space="preserve">accelerators. Designed to withstand harsh industrial environments, </w:t>
      </w:r>
      <w:r w:rsidR="00B10892">
        <w:t xml:space="preserve">both </w:t>
      </w:r>
      <w:r>
        <w:t>high-throughput module</w:t>
      </w:r>
      <w:r w:rsidR="00B10892">
        <w:t xml:space="preserve"> variants</w:t>
      </w:r>
      <w:r>
        <w:t xml:space="preserve"> support </w:t>
      </w:r>
      <w:r w:rsidR="008F34FC">
        <w:t xml:space="preserve">the </w:t>
      </w:r>
      <w:r>
        <w:t>extended temperature range from -40 °C to +85 °C, as well as Time-Sensitive Networking (TSN), and cybersecurity measures.</w:t>
      </w:r>
    </w:p>
    <w:p w14:paraId="0000000C" w14:textId="77777777" w:rsidR="00F77172" w:rsidRDefault="00F77172"/>
    <w:p w14:paraId="0000000E" w14:textId="703C2AB0" w:rsidR="00F77172" w:rsidRDefault="001042FF">
      <w:r>
        <w:t xml:space="preserve">“By integrating the powerful Texas Instruments </w:t>
      </w:r>
      <w:r w:rsidR="00721DA4">
        <w:t xml:space="preserve">Jacinto™ </w:t>
      </w:r>
      <w:r>
        <w:t xml:space="preserve">7 TDA4x and TI DRA8x processors </w:t>
      </w:r>
      <w:r w:rsidR="00B44EF3">
        <w:t xml:space="preserve">in our high-performance </w:t>
      </w:r>
      <w:r>
        <w:t xml:space="preserve">SMARC </w:t>
      </w:r>
      <w:r w:rsidR="00B44EF3">
        <w:t>Module 2.1 ecosystem</w:t>
      </w:r>
      <w:r>
        <w:t xml:space="preserve">, congatec simplifies the design-in process for this advanced Arm Cortex-A72 based SoC technology. This allows vision-based situational awareness designers in various embedded industries to focus on their core competencies, saving upfront costs and reducing time to market, especially for industrial quantity production”, explains Martin Danzer, Director of Product Management at congatec. Industrial OEMs, particularly those without time and financial resources for full custom designs, can benefit from the innovative SMARC </w:t>
      </w:r>
      <w:r w:rsidR="0062679C">
        <w:t xml:space="preserve">high-performance ecosystem </w:t>
      </w:r>
      <w:r>
        <w:t xml:space="preserve">offered by congatec. </w:t>
      </w:r>
      <w:r w:rsidR="0062679C">
        <w:t xml:space="preserve">It </w:t>
      </w:r>
      <w:r>
        <w:t>streamline</w:t>
      </w:r>
      <w:r w:rsidR="0062679C">
        <w:t>s</w:t>
      </w:r>
      <w:r>
        <w:t xml:space="preserve"> the design process while ensuring high design security and low non-recurring engineering (NRE) costs.</w:t>
      </w:r>
    </w:p>
    <w:p w14:paraId="0000000F" w14:textId="77777777" w:rsidR="00F77172" w:rsidRDefault="001042FF">
      <w:pPr>
        <w:pBdr>
          <w:top w:val="nil"/>
          <w:left w:val="nil"/>
          <w:bottom w:val="nil"/>
          <w:right w:val="nil"/>
          <w:between w:val="nil"/>
        </w:pBdr>
        <w:spacing w:before="280" w:after="280" w:line="240" w:lineRule="auto"/>
        <w:rPr>
          <w:rFonts w:eastAsia="Arial"/>
          <w:b/>
          <w:color w:val="000000"/>
        </w:rPr>
      </w:pPr>
      <w:r>
        <w:rPr>
          <w:rFonts w:eastAsia="Arial"/>
          <w:b/>
          <w:color w:val="000000"/>
        </w:rPr>
        <w:t>The feature set in detail</w:t>
      </w:r>
    </w:p>
    <w:p w14:paraId="00000010" w14:textId="6B451290" w:rsidR="00F77172" w:rsidRDefault="001042FF">
      <w:pPr>
        <w:pBdr>
          <w:top w:val="nil"/>
          <w:left w:val="nil"/>
          <w:bottom w:val="nil"/>
          <w:right w:val="nil"/>
          <w:between w:val="nil"/>
        </w:pBdr>
        <w:rPr>
          <w:rFonts w:eastAsia="Arial"/>
          <w:color w:val="000000"/>
        </w:rPr>
      </w:pPr>
      <w:r>
        <w:rPr>
          <w:rFonts w:eastAsia="Arial"/>
          <w:color w:val="000000"/>
        </w:rPr>
        <w:t xml:space="preserve">The new congatec conga-STDA4 Computer-on-Modules based on the SMARC </w:t>
      </w:r>
      <w:r w:rsidR="00B44EF3">
        <w:rPr>
          <w:rFonts w:eastAsia="Arial"/>
          <w:color w:val="000000"/>
        </w:rPr>
        <w:t xml:space="preserve">Module </w:t>
      </w:r>
      <w:r>
        <w:rPr>
          <w:rFonts w:eastAsia="Arial"/>
          <w:color w:val="000000"/>
        </w:rPr>
        <w:t>2.1 specification are equipped with Texas Instrument</w:t>
      </w:r>
      <w:r w:rsidR="000752D1">
        <w:rPr>
          <w:rFonts w:eastAsia="Arial"/>
          <w:color w:val="000000"/>
        </w:rPr>
        <w:t>s</w:t>
      </w:r>
      <w:r>
        <w:rPr>
          <w:rFonts w:eastAsia="Arial"/>
          <w:color w:val="000000"/>
        </w:rPr>
        <w:t xml:space="preserve"> </w:t>
      </w:r>
      <w:r w:rsidR="00721DA4">
        <w:rPr>
          <w:rFonts w:eastAsia="Arial"/>
          <w:color w:val="000000"/>
        </w:rPr>
        <w:t xml:space="preserve">Jacinto™ </w:t>
      </w:r>
      <w:r w:rsidR="00EA6049">
        <w:rPr>
          <w:rFonts w:eastAsia="Arial"/>
          <w:color w:val="000000"/>
        </w:rPr>
        <w:t xml:space="preserve">7 </w:t>
      </w:r>
      <w:r>
        <w:rPr>
          <w:rFonts w:eastAsia="Arial"/>
          <w:color w:val="000000"/>
        </w:rPr>
        <w:t>TDA4VM or DRA829J processors based on 2 Arm Cortex-A72 and 6 Arm Cortex-R5F. With 2x MIPI-CSI 4-lanes and integrated Image Signal Processor (ISP) for MIPI-CSI cameras, the new modules enable high-quality camera, lidar</w:t>
      </w:r>
      <w:r w:rsidRPr="004F5325">
        <w:t xml:space="preserve">, </w:t>
      </w:r>
      <w:r>
        <w:rPr>
          <w:rFonts w:eastAsia="Arial"/>
          <w:color w:val="000000"/>
        </w:rPr>
        <w:t>or radar data capture and processing. Featuring Deep-learning Matrix Multiply Accelerators (MMA) with up to 8 TOPS and C7x floating</w:t>
      </w:r>
      <w:r>
        <w:t>-</w:t>
      </w:r>
      <w:r>
        <w:rPr>
          <w:rFonts w:eastAsia="Arial"/>
          <w:color w:val="000000"/>
        </w:rPr>
        <w:t xml:space="preserve">point vector DSP with up to 80 GFLOPs, the module delivers exceptional performance for deep learning and AI processing. </w:t>
      </w:r>
      <w:r w:rsidR="004F5325">
        <w:rPr>
          <w:rFonts w:eastAsia="Arial"/>
          <w:color w:val="000000"/>
        </w:rPr>
        <w:t xml:space="preserve">Exclusive to the </w:t>
      </w:r>
      <w:r w:rsidR="00721DA4">
        <w:rPr>
          <w:rFonts w:eastAsia="Arial"/>
          <w:color w:val="000000"/>
        </w:rPr>
        <w:t xml:space="preserve">Jacinto™ </w:t>
      </w:r>
      <w:r w:rsidR="004F5325">
        <w:rPr>
          <w:rFonts w:eastAsia="Arial"/>
          <w:color w:val="000000"/>
        </w:rPr>
        <w:t>7 TDA4VM variant are t</w:t>
      </w:r>
      <w:r>
        <w:rPr>
          <w:rFonts w:eastAsia="Arial"/>
          <w:color w:val="000000"/>
        </w:rPr>
        <w:t>he Vision Processing Accelerators (VPAC) with Image Signal Processor (ISP) and multiple vision assist accelerators ensur</w:t>
      </w:r>
      <w:r w:rsidR="004F5325">
        <w:rPr>
          <w:rFonts w:eastAsia="Arial"/>
          <w:color w:val="000000"/>
        </w:rPr>
        <w:t>ing</w:t>
      </w:r>
      <w:r>
        <w:rPr>
          <w:rFonts w:eastAsia="Arial"/>
          <w:color w:val="000000"/>
        </w:rPr>
        <w:t xml:space="preserve"> high-quality image processing and analysis. </w:t>
      </w:r>
      <w:r w:rsidR="004F5325">
        <w:rPr>
          <w:rFonts w:eastAsia="Arial"/>
          <w:color w:val="000000"/>
        </w:rPr>
        <w:t xml:space="preserve">Common to both </w:t>
      </w:r>
      <w:r w:rsidR="00384190">
        <w:rPr>
          <w:rFonts w:eastAsia="Arial"/>
          <w:color w:val="000000"/>
        </w:rPr>
        <w:t xml:space="preserve">processor variants </w:t>
      </w:r>
      <w:r w:rsidR="004F5325">
        <w:rPr>
          <w:rFonts w:eastAsia="Arial"/>
          <w:color w:val="000000"/>
        </w:rPr>
        <w:t xml:space="preserve">are </w:t>
      </w:r>
      <w:r>
        <w:rPr>
          <w:rFonts w:eastAsia="Arial"/>
          <w:color w:val="000000"/>
        </w:rPr>
        <w:t xml:space="preserve">the Depth and Motion Processing Accelerators (DMPAC) </w:t>
      </w:r>
      <w:r w:rsidR="004F5325">
        <w:rPr>
          <w:rFonts w:eastAsia="Arial"/>
          <w:color w:val="000000"/>
        </w:rPr>
        <w:t xml:space="preserve">to </w:t>
      </w:r>
      <w:r>
        <w:rPr>
          <w:rFonts w:eastAsia="Arial"/>
          <w:color w:val="000000"/>
        </w:rPr>
        <w:t xml:space="preserve">enable </w:t>
      </w:r>
      <w:r>
        <w:rPr>
          <w:rFonts w:eastAsia="Arial"/>
          <w:color w:val="000000"/>
        </w:rPr>
        <w:lastRenderedPageBreak/>
        <w:t xml:space="preserve">accurate depth perception and motion tracking. Graphics performance including GPGPU capabilities are enhanced with the integrated Graphics Accelerator 3D GPU </w:t>
      </w:r>
      <w:proofErr w:type="spellStart"/>
      <w:r>
        <w:rPr>
          <w:rFonts w:eastAsia="Arial"/>
          <w:color w:val="000000"/>
        </w:rPr>
        <w:t>PowerVR</w:t>
      </w:r>
      <w:proofErr w:type="spellEnd"/>
      <w:r>
        <w:rPr>
          <w:rFonts w:eastAsia="Arial"/>
          <w:color w:val="000000"/>
        </w:rPr>
        <w:t xml:space="preserve"> Rogue 8XE GE8430.</w:t>
      </w:r>
      <w:r w:rsidR="004F5325">
        <w:rPr>
          <w:rFonts w:eastAsia="Arial"/>
          <w:color w:val="000000"/>
        </w:rPr>
        <w:t xml:space="preserve"> The new modules are embedded in congatec’s high-performance SMARC 2.1 Module ecosystem featuring </w:t>
      </w:r>
      <w:r w:rsidR="00CF301B">
        <w:rPr>
          <w:rFonts w:eastAsia="Arial"/>
          <w:color w:val="000000"/>
        </w:rPr>
        <w:t xml:space="preserve">tailored cooling solutions, </w:t>
      </w:r>
      <w:proofErr w:type="gramStart"/>
      <w:r w:rsidR="00CF301B">
        <w:rPr>
          <w:rFonts w:eastAsia="Arial"/>
          <w:color w:val="000000"/>
        </w:rPr>
        <w:t>evaluation</w:t>
      </w:r>
      <w:proofErr w:type="gramEnd"/>
      <w:r w:rsidR="00CF301B">
        <w:rPr>
          <w:rFonts w:eastAsia="Arial"/>
          <w:color w:val="000000"/>
        </w:rPr>
        <w:t xml:space="preserve"> and application ready carrier boards as well as value-adding services including </w:t>
      </w:r>
      <w:r w:rsidR="00721DA4">
        <w:rPr>
          <w:rFonts w:eastAsia="Arial"/>
          <w:color w:val="000000"/>
        </w:rPr>
        <w:t>signal compliance testing</w:t>
      </w:r>
      <w:r w:rsidR="00CF301B">
        <w:rPr>
          <w:rFonts w:eastAsia="Arial"/>
          <w:color w:val="000000"/>
        </w:rPr>
        <w:t>, conformal coating, and design-in trainings.</w:t>
      </w:r>
    </w:p>
    <w:p w14:paraId="00000011" w14:textId="77777777" w:rsidR="00F77172" w:rsidRDefault="00F77172">
      <w:pPr>
        <w:pBdr>
          <w:top w:val="nil"/>
          <w:left w:val="nil"/>
          <w:bottom w:val="nil"/>
          <w:right w:val="nil"/>
          <w:between w:val="nil"/>
        </w:pBdr>
      </w:pPr>
    </w:p>
    <w:p w14:paraId="00000012" w14:textId="22AF2A52" w:rsidR="00F77172" w:rsidRDefault="001042FF">
      <w:r>
        <w:t xml:space="preserve">The new conga-STDA4 SMARC Computer-on-Modules based on Texas Instruments </w:t>
      </w:r>
      <w:r w:rsidR="00721DA4">
        <w:rPr>
          <w:rFonts w:eastAsia="Arial"/>
          <w:color w:val="000000"/>
        </w:rPr>
        <w:t xml:space="preserve">Jacinto™ </w:t>
      </w:r>
      <w:r w:rsidR="000752D1">
        <w:rPr>
          <w:rFonts w:eastAsia="Arial"/>
          <w:color w:val="000000"/>
        </w:rPr>
        <w:t xml:space="preserve">7 </w:t>
      </w:r>
      <w:r>
        <w:t>TDA4V and DRA8 processors support Linux, QNX, RTOS, and VxWorks and are available in the following standard configurations, with customization options available upon request:</w:t>
      </w:r>
    </w:p>
    <w:p w14:paraId="3F8BCB16" w14:textId="77777777" w:rsidR="00117FA3" w:rsidRDefault="00117FA3"/>
    <w:tbl>
      <w:tblPr>
        <w:tblW w:w="8090" w:type="dxa"/>
        <w:tblLayout w:type="fixed"/>
        <w:tblCellMar>
          <w:left w:w="115" w:type="dxa"/>
          <w:right w:w="115" w:type="dxa"/>
        </w:tblCellMar>
        <w:tblLook w:val="0400" w:firstRow="0" w:lastRow="0" w:firstColumn="0" w:lastColumn="0" w:noHBand="0" w:noVBand="1"/>
      </w:tblPr>
      <w:tblGrid>
        <w:gridCol w:w="250"/>
        <w:gridCol w:w="1877"/>
        <w:gridCol w:w="1414"/>
        <w:gridCol w:w="1562"/>
        <w:gridCol w:w="1569"/>
        <w:gridCol w:w="1418"/>
      </w:tblGrid>
      <w:tr w:rsidR="00A92FE4" w14:paraId="6F8E158A" w14:textId="77777777" w:rsidTr="0068252D">
        <w:trPr>
          <w:trHeight w:val="476"/>
        </w:trPr>
        <w:tc>
          <w:tcPr>
            <w:tcW w:w="250" w:type="dxa"/>
            <w:vAlign w:val="center"/>
          </w:tcPr>
          <w:p w14:paraId="00000013" w14:textId="77777777" w:rsidR="00F77172" w:rsidRDefault="00F77172">
            <w:pPr>
              <w:spacing w:line="240" w:lineRule="auto"/>
              <w:jc w:val="center"/>
              <w:rPr>
                <w:b/>
                <w:color w:val="262626"/>
                <w:sz w:val="18"/>
                <w:szCs w:val="18"/>
              </w:rPr>
            </w:pPr>
            <w:bookmarkStart w:id="1" w:name="_Hlk146636196"/>
          </w:p>
        </w:tc>
        <w:tc>
          <w:tcPr>
            <w:tcW w:w="1877" w:type="dxa"/>
            <w:tcBorders>
              <w:bottom w:val="single" w:sz="4" w:space="0" w:color="auto"/>
            </w:tcBorders>
          </w:tcPr>
          <w:p w14:paraId="00000014" w14:textId="77777777" w:rsidR="00F77172" w:rsidRDefault="001042FF">
            <w:pPr>
              <w:spacing w:line="240" w:lineRule="auto"/>
              <w:jc w:val="center"/>
              <w:rPr>
                <w:b/>
                <w:color w:val="262626"/>
                <w:sz w:val="18"/>
                <w:szCs w:val="18"/>
              </w:rPr>
            </w:pPr>
            <w:r>
              <w:rPr>
                <w:b/>
                <w:color w:val="262626"/>
                <w:sz w:val="18"/>
                <w:szCs w:val="18"/>
              </w:rPr>
              <w:t>Processor</w:t>
            </w:r>
          </w:p>
        </w:tc>
        <w:tc>
          <w:tcPr>
            <w:tcW w:w="1414" w:type="dxa"/>
            <w:tcBorders>
              <w:bottom w:val="single" w:sz="4" w:space="0" w:color="auto"/>
            </w:tcBorders>
          </w:tcPr>
          <w:p w14:paraId="00000015" w14:textId="53E5FD19" w:rsidR="00F77172" w:rsidRDefault="001042FF">
            <w:pPr>
              <w:spacing w:line="240" w:lineRule="auto"/>
              <w:jc w:val="center"/>
              <w:rPr>
                <w:b/>
                <w:color w:val="262626"/>
                <w:sz w:val="18"/>
                <w:szCs w:val="18"/>
              </w:rPr>
            </w:pPr>
            <w:r>
              <w:rPr>
                <w:b/>
                <w:color w:val="262626"/>
                <w:sz w:val="18"/>
                <w:szCs w:val="18"/>
              </w:rPr>
              <w:t>ARM Cortex-A72</w:t>
            </w:r>
          </w:p>
        </w:tc>
        <w:tc>
          <w:tcPr>
            <w:tcW w:w="1562" w:type="dxa"/>
            <w:tcBorders>
              <w:bottom w:val="single" w:sz="4" w:space="0" w:color="auto"/>
            </w:tcBorders>
          </w:tcPr>
          <w:p w14:paraId="00000016" w14:textId="77777777" w:rsidR="00F77172" w:rsidRDefault="001042FF">
            <w:pPr>
              <w:spacing w:line="240" w:lineRule="auto"/>
              <w:jc w:val="center"/>
              <w:rPr>
                <w:b/>
                <w:color w:val="262626"/>
                <w:sz w:val="18"/>
                <w:szCs w:val="18"/>
              </w:rPr>
            </w:pPr>
            <w:r>
              <w:rPr>
                <w:b/>
                <w:color w:val="262626"/>
                <w:sz w:val="18"/>
                <w:szCs w:val="18"/>
              </w:rPr>
              <w:t>ARM Cortex-R5F</w:t>
            </w:r>
          </w:p>
        </w:tc>
        <w:tc>
          <w:tcPr>
            <w:tcW w:w="1569" w:type="dxa"/>
            <w:tcBorders>
              <w:bottom w:val="single" w:sz="4" w:space="0" w:color="auto"/>
            </w:tcBorders>
          </w:tcPr>
          <w:p w14:paraId="00000017" w14:textId="77777777" w:rsidR="00F77172" w:rsidRDefault="001042FF">
            <w:pPr>
              <w:spacing w:line="240" w:lineRule="auto"/>
              <w:jc w:val="center"/>
              <w:rPr>
                <w:b/>
                <w:color w:val="262626"/>
                <w:sz w:val="18"/>
                <w:szCs w:val="18"/>
              </w:rPr>
            </w:pPr>
            <w:r>
              <w:rPr>
                <w:b/>
                <w:color w:val="262626"/>
                <w:sz w:val="18"/>
                <w:szCs w:val="18"/>
              </w:rPr>
              <w:t>DSP Cores / GFLOPs</w:t>
            </w:r>
          </w:p>
        </w:tc>
        <w:tc>
          <w:tcPr>
            <w:tcW w:w="1418" w:type="dxa"/>
            <w:tcBorders>
              <w:bottom w:val="single" w:sz="4" w:space="0" w:color="auto"/>
            </w:tcBorders>
          </w:tcPr>
          <w:p w14:paraId="00000018" w14:textId="77777777" w:rsidR="00F77172" w:rsidRDefault="001042FF">
            <w:pPr>
              <w:spacing w:line="240" w:lineRule="auto"/>
              <w:jc w:val="center"/>
              <w:rPr>
                <w:b/>
                <w:color w:val="262626"/>
                <w:sz w:val="18"/>
                <w:szCs w:val="18"/>
                <w:highlight w:val="yellow"/>
              </w:rPr>
            </w:pPr>
            <w:r>
              <w:rPr>
                <w:b/>
                <w:color w:val="262626"/>
                <w:sz w:val="18"/>
                <w:szCs w:val="18"/>
              </w:rPr>
              <w:t>VPAC / DMPAC</w:t>
            </w:r>
          </w:p>
        </w:tc>
      </w:tr>
      <w:tr w:rsidR="00A92FE4" w14:paraId="38DD52C8" w14:textId="77777777" w:rsidTr="0068252D">
        <w:trPr>
          <w:trHeight w:val="340"/>
        </w:trPr>
        <w:tc>
          <w:tcPr>
            <w:tcW w:w="250" w:type="dxa"/>
            <w:vAlign w:val="center"/>
          </w:tcPr>
          <w:p w14:paraId="00000019" w14:textId="77777777" w:rsidR="00F77172" w:rsidRDefault="00F77172">
            <w:pPr>
              <w:spacing w:line="276" w:lineRule="auto"/>
              <w:rPr>
                <w:sz w:val="18"/>
                <w:szCs w:val="18"/>
              </w:rPr>
            </w:pPr>
          </w:p>
        </w:tc>
        <w:tc>
          <w:tcPr>
            <w:tcW w:w="1877" w:type="dxa"/>
            <w:tcBorders>
              <w:top w:val="single" w:sz="4" w:space="0" w:color="auto"/>
              <w:bottom w:val="single" w:sz="4" w:space="0" w:color="auto"/>
            </w:tcBorders>
            <w:vAlign w:val="center"/>
          </w:tcPr>
          <w:p w14:paraId="0000001A" w14:textId="77777777" w:rsidR="00F77172" w:rsidRDefault="001042FF">
            <w:pPr>
              <w:spacing w:line="276" w:lineRule="auto"/>
              <w:rPr>
                <w:sz w:val="18"/>
                <w:szCs w:val="18"/>
              </w:rPr>
            </w:pPr>
            <w:r>
              <w:rPr>
                <w:color w:val="262626"/>
                <w:sz w:val="18"/>
                <w:szCs w:val="18"/>
              </w:rPr>
              <w:t>TI TDA4VM</w:t>
            </w:r>
          </w:p>
        </w:tc>
        <w:tc>
          <w:tcPr>
            <w:tcW w:w="1414" w:type="dxa"/>
            <w:tcBorders>
              <w:top w:val="single" w:sz="4" w:space="0" w:color="auto"/>
              <w:bottom w:val="single" w:sz="4" w:space="0" w:color="auto"/>
            </w:tcBorders>
            <w:vAlign w:val="center"/>
          </w:tcPr>
          <w:p w14:paraId="0000001B" w14:textId="77777777" w:rsidR="00F77172" w:rsidRDefault="001042FF">
            <w:pPr>
              <w:spacing w:line="276" w:lineRule="auto"/>
              <w:jc w:val="center"/>
              <w:rPr>
                <w:sz w:val="18"/>
                <w:szCs w:val="18"/>
              </w:rPr>
            </w:pPr>
            <w:r>
              <w:rPr>
                <w:sz w:val="18"/>
                <w:szCs w:val="18"/>
              </w:rPr>
              <w:t>2</w:t>
            </w:r>
          </w:p>
        </w:tc>
        <w:tc>
          <w:tcPr>
            <w:tcW w:w="1562" w:type="dxa"/>
            <w:tcBorders>
              <w:top w:val="single" w:sz="4" w:space="0" w:color="auto"/>
              <w:bottom w:val="single" w:sz="4" w:space="0" w:color="auto"/>
            </w:tcBorders>
            <w:vAlign w:val="center"/>
          </w:tcPr>
          <w:p w14:paraId="0000001C" w14:textId="77777777" w:rsidR="00F77172" w:rsidRDefault="001042FF">
            <w:pPr>
              <w:spacing w:line="276" w:lineRule="auto"/>
              <w:jc w:val="center"/>
              <w:rPr>
                <w:sz w:val="18"/>
                <w:szCs w:val="18"/>
              </w:rPr>
            </w:pPr>
            <w:r>
              <w:rPr>
                <w:sz w:val="18"/>
                <w:szCs w:val="18"/>
              </w:rPr>
              <w:t>6</w:t>
            </w:r>
          </w:p>
        </w:tc>
        <w:tc>
          <w:tcPr>
            <w:tcW w:w="1569" w:type="dxa"/>
            <w:tcBorders>
              <w:top w:val="single" w:sz="4" w:space="0" w:color="auto"/>
              <w:bottom w:val="single" w:sz="4" w:space="0" w:color="auto"/>
            </w:tcBorders>
            <w:vAlign w:val="center"/>
          </w:tcPr>
          <w:p w14:paraId="0000001D" w14:textId="7D5451ED" w:rsidR="00F77172" w:rsidRDefault="001042FF">
            <w:pPr>
              <w:spacing w:line="276" w:lineRule="auto"/>
              <w:jc w:val="center"/>
              <w:rPr>
                <w:sz w:val="18"/>
                <w:szCs w:val="18"/>
              </w:rPr>
            </w:pPr>
            <w:r>
              <w:rPr>
                <w:sz w:val="18"/>
                <w:szCs w:val="18"/>
              </w:rPr>
              <w:t>1x C7x / 80</w:t>
            </w:r>
            <w:r w:rsidR="005307C5">
              <w:rPr>
                <w:sz w:val="18"/>
                <w:szCs w:val="18"/>
              </w:rPr>
              <w:br/>
            </w:r>
            <w:r w:rsidR="005307C5">
              <w:rPr>
                <w:color w:val="262626"/>
                <w:sz w:val="18"/>
                <w:szCs w:val="18"/>
              </w:rPr>
              <w:t>2x C66 / 40</w:t>
            </w:r>
          </w:p>
        </w:tc>
        <w:tc>
          <w:tcPr>
            <w:tcW w:w="1418" w:type="dxa"/>
            <w:tcBorders>
              <w:top w:val="single" w:sz="4" w:space="0" w:color="auto"/>
              <w:bottom w:val="single" w:sz="4" w:space="0" w:color="auto"/>
            </w:tcBorders>
            <w:vAlign w:val="center"/>
          </w:tcPr>
          <w:p w14:paraId="0000001E" w14:textId="77777777" w:rsidR="00F77172" w:rsidRDefault="001042FF">
            <w:pPr>
              <w:spacing w:line="276" w:lineRule="auto"/>
              <w:jc w:val="center"/>
              <w:rPr>
                <w:sz w:val="18"/>
                <w:szCs w:val="18"/>
                <w:highlight w:val="yellow"/>
              </w:rPr>
            </w:pPr>
            <w:r>
              <w:rPr>
                <w:sz w:val="18"/>
                <w:szCs w:val="18"/>
              </w:rPr>
              <w:t>Yes</w:t>
            </w:r>
          </w:p>
        </w:tc>
      </w:tr>
      <w:tr w:rsidR="00F77172" w14:paraId="1DBDA20B" w14:textId="77777777" w:rsidTr="006D6CA1">
        <w:trPr>
          <w:trHeight w:val="340"/>
        </w:trPr>
        <w:tc>
          <w:tcPr>
            <w:tcW w:w="250" w:type="dxa"/>
            <w:vAlign w:val="center"/>
          </w:tcPr>
          <w:p w14:paraId="0000001F" w14:textId="77777777" w:rsidR="00F77172" w:rsidRDefault="00F77172">
            <w:pPr>
              <w:spacing w:line="276" w:lineRule="auto"/>
              <w:rPr>
                <w:sz w:val="18"/>
                <w:szCs w:val="18"/>
              </w:rPr>
            </w:pPr>
          </w:p>
        </w:tc>
        <w:tc>
          <w:tcPr>
            <w:tcW w:w="1877" w:type="dxa"/>
            <w:tcBorders>
              <w:top w:val="single" w:sz="4" w:space="0" w:color="auto"/>
            </w:tcBorders>
            <w:vAlign w:val="center"/>
          </w:tcPr>
          <w:p w14:paraId="00000020" w14:textId="77777777" w:rsidR="00F77172" w:rsidRDefault="001042FF">
            <w:pPr>
              <w:spacing w:line="276" w:lineRule="auto"/>
              <w:rPr>
                <w:color w:val="262626"/>
                <w:sz w:val="18"/>
                <w:szCs w:val="18"/>
              </w:rPr>
            </w:pPr>
            <w:r>
              <w:rPr>
                <w:color w:val="262626"/>
                <w:sz w:val="18"/>
                <w:szCs w:val="18"/>
              </w:rPr>
              <w:t>TI DRA829J</w:t>
            </w:r>
          </w:p>
        </w:tc>
        <w:tc>
          <w:tcPr>
            <w:tcW w:w="1414" w:type="dxa"/>
            <w:tcBorders>
              <w:top w:val="single" w:sz="4" w:space="0" w:color="auto"/>
            </w:tcBorders>
            <w:vAlign w:val="center"/>
          </w:tcPr>
          <w:p w14:paraId="00000021" w14:textId="77777777" w:rsidR="00F77172" w:rsidRDefault="001042FF">
            <w:pPr>
              <w:spacing w:line="276" w:lineRule="auto"/>
              <w:jc w:val="center"/>
              <w:rPr>
                <w:color w:val="262626"/>
                <w:sz w:val="18"/>
                <w:szCs w:val="18"/>
              </w:rPr>
            </w:pPr>
            <w:r>
              <w:rPr>
                <w:sz w:val="18"/>
                <w:szCs w:val="18"/>
              </w:rPr>
              <w:t>2</w:t>
            </w:r>
          </w:p>
        </w:tc>
        <w:tc>
          <w:tcPr>
            <w:tcW w:w="1562" w:type="dxa"/>
            <w:tcBorders>
              <w:top w:val="single" w:sz="4" w:space="0" w:color="auto"/>
            </w:tcBorders>
            <w:vAlign w:val="center"/>
          </w:tcPr>
          <w:p w14:paraId="00000022" w14:textId="77777777" w:rsidR="00F77172" w:rsidRDefault="001042FF">
            <w:pPr>
              <w:jc w:val="center"/>
              <w:rPr>
                <w:color w:val="262626"/>
                <w:sz w:val="18"/>
                <w:szCs w:val="18"/>
              </w:rPr>
            </w:pPr>
            <w:r>
              <w:rPr>
                <w:color w:val="262626"/>
                <w:sz w:val="18"/>
                <w:szCs w:val="18"/>
              </w:rPr>
              <w:t>6</w:t>
            </w:r>
          </w:p>
        </w:tc>
        <w:tc>
          <w:tcPr>
            <w:tcW w:w="1569" w:type="dxa"/>
            <w:tcBorders>
              <w:top w:val="single" w:sz="4" w:space="0" w:color="auto"/>
            </w:tcBorders>
            <w:vAlign w:val="center"/>
          </w:tcPr>
          <w:p w14:paraId="00000023" w14:textId="40CE1299" w:rsidR="00F77172" w:rsidRDefault="005307C5">
            <w:pPr>
              <w:jc w:val="center"/>
              <w:rPr>
                <w:color w:val="262626"/>
                <w:sz w:val="18"/>
                <w:szCs w:val="18"/>
              </w:rPr>
            </w:pPr>
            <w:r>
              <w:rPr>
                <w:sz w:val="18"/>
                <w:szCs w:val="18"/>
              </w:rPr>
              <w:t>1x C7x / 80</w:t>
            </w:r>
            <w:r>
              <w:rPr>
                <w:sz w:val="18"/>
                <w:szCs w:val="18"/>
              </w:rPr>
              <w:br/>
            </w:r>
            <w:r>
              <w:rPr>
                <w:color w:val="262626"/>
                <w:sz w:val="18"/>
                <w:szCs w:val="18"/>
              </w:rPr>
              <w:t>2x C66 / 40</w:t>
            </w:r>
          </w:p>
        </w:tc>
        <w:tc>
          <w:tcPr>
            <w:tcW w:w="1418" w:type="dxa"/>
            <w:tcBorders>
              <w:top w:val="single" w:sz="4" w:space="0" w:color="auto"/>
            </w:tcBorders>
            <w:vAlign w:val="center"/>
          </w:tcPr>
          <w:p w14:paraId="00000024" w14:textId="77777777" w:rsidR="00F77172" w:rsidRDefault="001042FF">
            <w:pPr>
              <w:jc w:val="center"/>
              <w:rPr>
                <w:color w:val="262626"/>
                <w:sz w:val="18"/>
                <w:szCs w:val="18"/>
                <w:highlight w:val="yellow"/>
              </w:rPr>
            </w:pPr>
            <w:r>
              <w:rPr>
                <w:color w:val="262626"/>
                <w:sz w:val="18"/>
                <w:szCs w:val="18"/>
              </w:rPr>
              <w:t>No</w:t>
            </w:r>
          </w:p>
        </w:tc>
      </w:tr>
      <w:bookmarkEnd w:id="1"/>
    </w:tbl>
    <w:p w14:paraId="00000025" w14:textId="77777777" w:rsidR="00F77172" w:rsidRDefault="00F77172"/>
    <w:p w14:paraId="00000026" w14:textId="48B7F7EF" w:rsidR="00F77172" w:rsidRPr="00A92FE4" w:rsidRDefault="001042FF">
      <w:pPr>
        <w:rPr>
          <w:color w:val="0000FF"/>
          <w:u w:val="single"/>
        </w:rPr>
      </w:pPr>
      <w:r>
        <w:t xml:space="preserve">For more information about congatec's new conga-STDA4 SMARC modules and its capabilities, please visit: </w:t>
      </w:r>
      <w:hyperlink r:id="rId12">
        <w:r>
          <w:rPr>
            <w:color w:val="0000FF"/>
            <w:u w:val="single"/>
          </w:rPr>
          <w:t>https://www.congatec.com/en/products/smarc/conga-STDA4/</w:t>
        </w:r>
      </w:hyperlink>
    </w:p>
    <w:p w14:paraId="54AF5793" w14:textId="77777777" w:rsidR="00384190" w:rsidRDefault="00384190"/>
    <w:p w14:paraId="00000027" w14:textId="77777777" w:rsidR="00F77172" w:rsidRDefault="001042FF">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00000028" w14:textId="77777777" w:rsidR="00F77172" w:rsidRDefault="001042FF">
      <w:pPr>
        <w:pBdr>
          <w:top w:val="nil"/>
          <w:left w:val="nil"/>
          <w:bottom w:val="nil"/>
          <w:right w:val="nil"/>
          <w:between w:val="nil"/>
        </w:pBdr>
        <w:spacing w:line="240" w:lineRule="auto"/>
        <w:rPr>
          <w:rFonts w:eastAsia="Arial"/>
          <w:color w:val="000000"/>
          <w:sz w:val="18"/>
          <w:szCs w:val="18"/>
        </w:rPr>
      </w:pPr>
      <w:r>
        <w:rPr>
          <w:rFonts w:eastAsia="Arial"/>
          <w:b/>
          <w:color w:val="000000"/>
          <w:sz w:val="18"/>
          <w:szCs w:val="18"/>
        </w:rPr>
        <w:t>About congatec </w:t>
      </w:r>
      <w:r>
        <w:rPr>
          <w:rFonts w:eastAsia="Arial"/>
          <w:color w:val="000000"/>
          <w:sz w:val="18"/>
          <w:szCs w:val="18"/>
        </w:rPr>
        <w:t> </w:t>
      </w:r>
    </w:p>
    <w:p w14:paraId="00000029" w14:textId="192E22C7" w:rsidR="00F77172" w:rsidRDefault="001042FF">
      <w:pPr>
        <w:pBdr>
          <w:top w:val="nil"/>
          <w:left w:val="nil"/>
          <w:bottom w:val="nil"/>
          <w:right w:val="nil"/>
          <w:between w:val="nil"/>
        </w:pBdr>
        <w:spacing w:line="240" w:lineRule="auto"/>
        <w:rPr>
          <w:rFonts w:eastAsia="Arial"/>
          <w:color w:val="000000"/>
          <w:sz w:val="16"/>
          <w:szCs w:val="16"/>
        </w:rPr>
      </w:pPr>
      <w:r>
        <w:rPr>
          <w:rFonts w:eastAsia="Arial"/>
          <w:color w:val="000000"/>
          <w:sz w:val="18"/>
          <w:szCs w:val="18"/>
        </w:rPr>
        <w:t>congatec is a rapidly growing technology company focusing on embedded and edge computing products and services. The high-performance computer modules are used in a wide range of applications and devices in industrial automation, medical technology, robotics, telecommunications</w:t>
      </w:r>
      <w:r w:rsidR="00D70167">
        <w:rPr>
          <w:rFonts w:eastAsia="Arial"/>
          <w:color w:val="000000"/>
          <w:sz w:val="18"/>
          <w:szCs w:val="18"/>
        </w:rPr>
        <w:t>,</w:t>
      </w:r>
      <w:r>
        <w:rPr>
          <w:rFonts w:eastAsia="Arial"/>
          <w:color w:val="000000"/>
          <w:sz w:val="18"/>
          <w:szCs w:val="18"/>
        </w:rPr>
        <w:t xml:space="preserve">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w:t>
      </w:r>
      <w:proofErr w:type="gramStart"/>
      <w:r>
        <w:rPr>
          <w:rFonts w:eastAsia="Arial"/>
          <w:color w:val="000000"/>
          <w:sz w:val="18"/>
          <w:szCs w:val="18"/>
        </w:rPr>
        <w:t>blue chip</w:t>
      </w:r>
      <w:proofErr w:type="gramEnd"/>
      <w:r>
        <w:rPr>
          <w:rFonts w:eastAsia="Arial"/>
          <w:color w:val="000000"/>
          <w:sz w:val="18"/>
          <w:szCs w:val="18"/>
        </w:rPr>
        <w:t xml:space="preserve"> companies. More information is available on our website at </w:t>
      </w:r>
      <w:hyperlink r:id="rId13">
        <w:r>
          <w:rPr>
            <w:rFonts w:eastAsia="Arial"/>
            <w:color w:val="0000FF"/>
            <w:sz w:val="18"/>
            <w:szCs w:val="18"/>
            <w:u w:val="single"/>
          </w:rPr>
          <w:t>www.congatec.com</w:t>
        </w:r>
      </w:hyperlink>
      <w:r>
        <w:rPr>
          <w:rFonts w:eastAsia="Arial"/>
          <w:color w:val="0000FF"/>
          <w:sz w:val="18"/>
          <w:szCs w:val="18"/>
        </w:rPr>
        <w:t xml:space="preserve"> </w:t>
      </w:r>
      <w:r>
        <w:rPr>
          <w:rFonts w:eastAsia="Arial"/>
          <w:color w:val="000000"/>
          <w:sz w:val="18"/>
          <w:szCs w:val="18"/>
        </w:rPr>
        <w:t xml:space="preserve">or via </w:t>
      </w:r>
      <w:hyperlink r:id="rId14">
        <w:r>
          <w:rPr>
            <w:rFonts w:eastAsia="Arial"/>
            <w:color w:val="0000FF"/>
            <w:sz w:val="18"/>
            <w:szCs w:val="18"/>
            <w:u w:val="single"/>
          </w:rPr>
          <w:t>LinkedIn</w:t>
        </w:r>
      </w:hyperlink>
      <w:r>
        <w:rPr>
          <w:rFonts w:eastAsia="Arial"/>
          <w:color w:val="000000"/>
          <w:sz w:val="18"/>
          <w:szCs w:val="18"/>
        </w:rPr>
        <w:t xml:space="preserve">, </w:t>
      </w:r>
      <w:r w:rsidRPr="009D7E25">
        <w:rPr>
          <w:rFonts w:eastAsia="Arial"/>
          <w:color w:val="0000FF"/>
          <w:sz w:val="18"/>
          <w:szCs w:val="18"/>
        </w:rPr>
        <w:t>a</w:t>
      </w:r>
      <w:r w:rsidRPr="005D64D2">
        <w:rPr>
          <w:rFonts w:eastAsia="Arial"/>
          <w:color w:val="000000"/>
          <w:sz w:val="18"/>
          <w:szCs w:val="18"/>
        </w:rPr>
        <w:t>nd</w:t>
      </w:r>
      <w:r>
        <w:rPr>
          <w:rFonts w:eastAsia="Arial"/>
          <w:color w:val="000000"/>
          <w:sz w:val="18"/>
          <w:szCs w:val="18"/>
        </w:rPr>
        <w:t xml:space="preserve"> </w:t>
      </w:r>
      <w:hyperlink r:id="rId15">
        <w:r>
          <w:rPr>
            <w:rFonts w:eastAsia="Arial"/>
            <w:color w:val="0000FF"/>
            <w:sz w:val="18"/>
            <w:szCs w:val="18"/>
            <w:u w:val="single"/>
          </w:rPr>
          <w:t>YouTube</w:t>
        </w:r>
      </w:hyperlink>
      <w:r>
        <w:rPr>
          <w:rFonts w:eastAsia="Arial"/>
          <w:color w:val="000000"/>
          <w:sz w:val="18"/>
          <w:szCs w:val="18"/>
        </w:rPr>
        <w:t>.</w:t>
      </w:r>
    </w:p>
    <w:p w14:paraId="0000002A" w14:textId="77777777" w:rsidR="00F77172" w:rsidRDefault="00F77172"/>
    <w:p w14:paraId="0000002B" w14:textId="77777777" w:rsidR="00F77172" w:rsidRDefault="001042FF">
      <w:pPr>
        <w:pBdr>
          <w:top w:val="nil"/>
          <w:left w:val="nil"/>
          <w:bottom w:val="nil"/>
          <w:right w:val="nil"/>
          <w:between w:val="nil"/>
        </w:pBdr>
        <w:spacing w:line="240" w:lineRule="auto"/>
        <w:ind w:right="283"/>
        <w:jc w:val="both"/>
        <w:rPr>
          <w:rFonts w:eastAsia="Arial"/>
          <w:b/>
          <w:color w:val="000000"/>
        </w:rPr>
      </w:pPr>
      <w:r>
        <w:rPr>
          <w:rFonts w:eastAsia="Arial"/>
          <w:b/>
          <w:color w:val="000000"/>
        </w:rPr>
        <w:t>Reader enquiries:</w:t>
      </w:r>
    </w:p>
    <w:p w14:paraId="0000002C" w14:textId="77777777" w:rsidR="00F77172" w:rsidRDefault="001042FF">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0000002D" w14:textId="77777777" w:rsidR="00F77172" w:rsidRDefault="001042FF">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+49-991-2700-0</w:t>
      </w:r>
    </w:p>
    <w:p w14:paraId="0000002E" w14:textId="77777777" w:rsidR="00F77172" w:rsidRDefault="001042FF">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000002F" w14:textId="77777777" w:rsidR="00F77172" w:rsidRDefault="00000000">
      <w:pPr>
        <w:pBdr>
          <w:top w:val="nil"/>
          <w:left w:val="nil"/>
          <w:bottom w:val="nil"/>
          <w:right w:val="nil"/>
          <w:between w:val="nil"/>
        </w:pBdr>
        <w:spacing w:line="240" w:lineRule="auto"/>
        <w:ind w:right="283"/>
        <w:jc w:val="both"/>
        <w:rPr>
          <w:rFonts w:eastAsia="Arial"/>
          <w:color w:val="0000FF"/>
          <w:u w:val="single"/>
        </w:rPr>
      </w:pPr>
      <w:hyperlink r:id="rId16">
        <w:r w:rsidR="001042FF">
          <w:rPr>
            <w:rFonts w:eastAsia="Arial"/>
            <w:color w:val="0000FF"/>
            <w:u w:val="single"/>
          </w:rPr>
          <w:t>www.congatec.com</w:t>
        </w:r>
      </w:hyperlink>
    </w:p>
    <w:p w14:paraId="00000030" w14:textId="77777777" w:rsidR="00F77172" w:rsidRDefault="00F77172">
      <w:pPr>
        <w:pBdr>
          <w:top w:val="nil"/>
          <w:left w:val="nil"/>
          <w:bottom w:val="nil"/>
          <w:right w:val="nil"/>
          <w:between w:val="nil"/>
        </w:pBdr>
        <w:spacing w:line="240" w:lineRule="auto"/>
        <w:rPr>
          <w:rFonts w:eastAsia="Arial"/>
          <w:b/>
          <w:color w:val="000000"/>
        </w:rPr>
      </w:pPr>
    </w:p>
    <w:p w14:paraId="00000031" w14:textId="77777777" w:rsidR="00F77172" w:rsidRDefault="001042FF">
      <w:pPr>
        <w:pBdr>
          <w:top w:val="nil"/>
          <w:left w:val="nil"/>
          <w:bottom w:val="nil"/>
          <w:right w:val="nil"/>
          <w:between w:val="nil"/>
        </w:pBdr>
        <w:spacing w:line="240" w:lineRule="auto"/>
        <w:ind w:right="283"/>
        <w:jc w:val="both"/>
        <w:rPr>
          <w:rFonts w:eastAsia="Arial"/>
          <w:b/>
          <w:color w:val="000000"/>
        </w:rPr>
      </w:pPr>
      <w:r>
        <w:rPr>
          <w:rFonts w:eastAsia="Arial"/>
          <w:b/>
          <w:color w:val="000000"/>
        </w:rPr>
        <w:t>Press contact congatec:</w:t>
      </w:r>
    </w:p>
    <w:p w14:paraId="00000032" w14:textId="77777777" w:rsidR="00F77172" w:rsidRDefault="001042FF">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00000033" w14:textId="77777777" w:rsidR="00F77172" w:rsidRDefault="001042FF">
      <w:pPr>
        <w:pBdr>
          <w:top w:val="nil"/>
          <w:left w:val="nil"/>
          <w:bottom w:val="nil"/>
          <w:right w:val="nil"/>
          <w:between w:val="nil"/>
        </w:pBdr>
        <w:spacing w:line="240" w:lineRule="auto"/>
        <w:ind w:right="283"/>
        <w:jc w:val="both"/>
        <w:rPr>
          <w:rFonts w:eastAsia="Arial"/>
          <w:color w:val="000000"/>
        </w:rPr>
      </w:pPr>
      <w:r>
        <w:rPr>
          <w:rFonts w:eastAsia="Arial"/>
          <w:color w:val="000000"/>
        </w:rPr>
        <w:t>Christof Wilde</w:t>
      </w:r>
    </w:p>
    <w:p w14:paraId="00000034" w14:textId="77777777" w:rsidR="00F77172" w:rsidRDefault="001042FF">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+49-991-2700-2822</w:t>
      </w:r>
    </w:p>
    <w:p w14:paraId="00000035" w14:textId="77777777" w:rsidR="00F77172" w:rsidRDefault="001042FF">
      <w:pPr>
        <w:pBdr>
          <w:top w:val="nil"/>
          <w:left w:val="nil"/>
          <w:bottom w:val="nil"/>
          <w:right w:val="nil"/>
          <w:between w:val="nil"/>
        </w:pBdr>
        <w:spacing w:line="240" w:lineRule="auto"/>
        <w:ind w:right="283"/>
        <w:jc w:val="both"/>
        <w:rPr>
          <w:rFonts w:eastAsia="Arial"/>
          <w:color w:val="0000FF"/>
          <w:u w:val="single"/>
        </w:rPr>
      </w:pPr>
      <w:r>
        <w:rPr>
          <w:rFonts w:eastAsia="Arial"/>
          <w:color w:val="0000FF"/>
          <w:u w:val="single"/>
        </w:rPr>
        <w:t>christof.wilde@congatec.com</w:t>
      </w:r>
    </w:p>
    <w:p w14:paraId="00000036" w14:textId="77777777" w:rsidR="00F77172" w:rsidRDefault="00F77172">
      <w:pPr>
        <w:pBdr>
          <w:top w:val="nil"/>
          <w:left w:val="nil"/>
          <w:bottom w:val="nil"/>
          <w:right w:val="nil"/>
          <w:between w:val="nil"/>
        </w:pBdr>
        <w:spacing w:line="240" w:lineRule="auto"/>
        <w:rPr>
          <w:rFonts w:eastAsia="Arial"/>
          <w:color w:val="0000FF"/>
          <w:u w:val="single"/>
        </w:rPr>
      </w:pPr>
    </w:p>
    <w:p w14:paraId="00000037" w14:textId="77777777" w:rsidR="00F77172" w:rsidRDefault="001042FF">
      <w:pPr>
        <w:spacing w:line="240" w:lineRule="auto"/>
        <w:rPr>
          <w:rFonts w:ascii="Times New Roman" w:hAnsi="Times New Roman" w:cs="Times New Roman"/>
          <w:sz w:val="24"/>
          <w:szCs w:val="24"/>
        </w:rPr>
      </w:pPr>
      <w:r>
        <w:rPr>
          <w:b/>
        </w:rPr>
        <w:lastRenderedPageBreak/>
        <w:t>Press contact agency</w:t>
      </w:r>
      <w:r>
        <w:rPr>
          <w:color w:val="000000"/>
        </w:rPr>
        <w:t>:</w:t>
      </w:r>
    </w:p>
    <w:p w14:paraId="00000038" w14:textId="77777777" w:rsidR="00F77172" w:rsidRPr="003065A6" w:rsidRDefault="001042FF">
      <w:pPr>
        <w:spacing w:line="240" w:lineRule="auto"/>
        <w:rPr>
          <w:rFonts w:ascii="Times New Roman" w:hAnsi="Times New Roman"/>
          <w:sz w:val="24"/>
        </w:rPr>
      </w:pPr>
      <w:r w:rsidRPr="003065A6">
        <w:rPr>
          <w:color w:val="000000"/>
        </w:rPr>
        <w:t>Publitek GmbH</w:t>
      </w:r>
    </w:p>
    <w:p w14:paraId="00000039" w14:textId="77777777" w:rsidR="00F77172" w:rsidRPr="003065A6" w:rsidRDefault="001042FF">
      <w:pPr>
        <w:spacing w:line="240" w:lineRule="auto"/>
        <w:rPr>
          <w:rFonts w:ascii="Times New Roman" w:hAnsi="Times New Roman"/>
          <w:sz w:val="24"/>
        </w:rPr>
      </w:pPr>
      <w:r w:rsidRPr="003065A6">
        <w:rPr>
          <w:color w:val="000000"/>
        </w:rPr>
        <w:t>Julia Wolff</w:t>
      </w:r>
    </w:p>
    <w:p w14:paraId="0000003A" w14:textId="77777777" w:rsidR="00F77172" w:rsidRPr="00EA6049" w:rsidRDefault="001042FF">
      <w:pPr>
        <w:spacing w:line="240" w:lineRule="auto"/>
        <w:rPr>
          <w:rFonts w:ascii="Times New Roman" w:hAnsi="Times New Roman" w:cs="Times New Roman"/>
          <w:sz w:val="24"/>
          <w:szCs w:val="24"/>
          <w:lang w:val="de-DE"/>
        </w:rPr>
      </w:pPr>
      <w:r w:rsidRPr="00EA6049">
        <w:rPr>
          <w:color w:val="000000"/>
          <w:lang w:val="de-DE"/>
        </w:rPr>
        <w:t>+49 (0)4181 968098-18</w:t>
      </w:r>
    </w:p>
    <w:p w14:paraId="0000003B" w14:textId="73F050E9" w:rsidR="00F77172" w:rsidRDefault="00000000">
      <w:pPr>
        <w:spacing w:line="240" w:lineRule="auto"/>
        <w:rPr>
          <w:color w:val="000000"/>
          <w:lang w:val="de-DE"/>
        </w:rPr>
      </w:pPr>
      <w:hyperlink r:id="rId17" w:history="1">
        <w:r w:rsidR="003065A6" w:rsidRPr="00770219">
          <w:rPr>
            <w:rStyle w:val="Hyperlink"/>
            <w:lang w:val="de-DE"/>
          </w:rPr>
          <w:t>julia.wolff@publitek.com</w:t>
        </w:r>
      </w:hyperlink>
    </w:p>
    <w:p w14:paraId="0000003C" w14:textId="77777777" w:rsidR="00F77172" w:rsidRPr="00EA6049" w:rsidRDefault="001042FF">
      <w:pPr>
        <w:spacing w:line="240" w:lineRule="auto"/>
        <w:rPr>
          <w:rFonts w:ascii="Times New Roman" w:hAnsi="Times New Roman" w:cs="Times New Roman"/>
          <w:sz w:val="24"/>
          <w:szCs w:val="24"/>
          <w:lang w:val="de-DE"/>
        </w:rPr>
      </w:pPr>
      <w:r w:rsidRPr="00EA6049">
        <w:rPr>
          <w:color w:val="000000"/>
          <w:lang w:val="de-DE"/>
        </w:rPr>
        <w:t>Bremer Straße 6</w:t>
      </w:r>
    </w:p>
    <w:p w14:paraId="0000003D" w14:textId="77777777" w:rsidR="00F77172" w:rsidRDefault="001042FF">
      <w:pPr>
        <w:spacing w:line="240" w:lineRule="auto"/>
        <w:rPr>
          <w:rFonts w:ascii="Times New Roman" w:hAnsi="Times New Roman" w:cs="Times New Roman"/>
          <w:sz w:val="24"/>
          <w:szCs w:val="24"/>
        </w:rPr>
      </w:pPr>
      <w:r>
        <w:rPr>
          <w:color w:val="000000"/>
        </w:rPr>
        <w:t>21244 Buchholz</w:t>
      </w:r>
    </w:p>
    <w:p w14:paraId="0000003E" w14:textId="77777777" w:rsidR="00F77172" w:rsidRDefault="00F77172">
      <w:pPr>
        <w:spacing w:line="240" w:lineRule="auto"/>
        <w:rPr>
          <w:rFonts w:ascii="Times New Roman" w:hAnsi="Times New Roman" w:cs="Times New Roman"/>
          <w:sz w:val="24"/>
          <w:szCs w:val="24"/>
        </w:rPr>
      </w:pPr>
    </w:p>
    <w:p w14:paraId="0000003F" w14:textId="77777777" w:rsidR="00F77172" w:rsidRDefault="001042FF">
      <w:pPr>
        <w:spacing w:line="240" w:lineRule="auto"/>
        <w:rPr>
          <w:rFonts w:ascii="Times New Roman" w:hAnsi="Times New Roman" w:cs="Times New Roman"/>
          <w:sz w:val="24"/>
          <w:szCs w:val="24"/>
        </w:rPr>
      </w:pPr>
      <w:r>
        <w:rPr>
          <w:b/>
          <w:color w:val="000000"/>
        </w:rPr>
        <w:t>Please send print publications to</w:t>
      </w:r>
      <w:r>
        <w:rPr>
          <w:color w:val="000000"/>
        </w:rPr>
        <w:t>:</w:t>
      </w:r>
    </w:p>
    <w:p w14:paraId="00000040" w14:textId="77777777" w:rsidR="00F77172" w:rsidRPr="00EA6049" w:rsidRDefault="001042FF">
      <w:pPr>
        <w:spacing w:line="240" w:lineRule="auto"/>
        <w:rPr>
          <w:rFonts w:ascii="Times New Roman" w:hAnsi="Times New Roman" w:cs="Times New Roman"/>
          <w:sz w:val="24"/>
          <w:szCs w:val="24"/>
          <w:lang w:val="de-DE"/>
        </w:rPr>
      </w:pPr>
      <w:r w:rsidRPr="00EA6049">
        <w:rPr>
          <w:color w:val="000000"/>
          <w:lang w:val="de-DE"/>
        </w:rPr>
        <w:t>Publitek GmbH</w:t>
      </w:r>
    </w:p>
    <w:p w14:paraId="00000041" w14:textId="77777777" w:rsidR="00F77172" w:rsidRPr="00EA6049" w:rsidRDefault="001042FF">
      <w:pPr>
        <w:spacing w:line="240" w:lineRule="auto"/>
        <w:rPr>
          <w:rFonts w:ascii="Times New Roman" w:hAnsi="Times New Roman" w:cs="Times New Roman"/>
          <w:sz w:val="24"/>
          <w:szCs w:val="24"/>
          <w:lang w:val="de-DE"/>
        </w:rPr>
      </w:pPr>
      <w:r w:rsidRPr="00EA6049">
        <w:rPr>
          <w:color w:val="000000"/>
          <w:lang w:val="de-DE"/>
        </w:rPr>
        <w:t>Diana Penzien</w:t>
      </w:r>
    </w:p>
    <w:p w14:paraId="00000042" w14:textId="77777777" w:rsidR="00F77172" w:rsidRPr="00EA6049" w:rsidRDefault="001042FF">
      <w:pPr>
        <w:spacing w:line="240" w:lineRule="auto"/>
        <w:rPr>
          <w:rFonts w:ascii="Times New Roman" w:hAnsi="Times New Roman" w:cs="Times New Roman"/>
          <w:sz w:val="24"/>
          <w:szCs w:val="24"/>
          <w:lang w:val="de-DE"/>
        </w:rPr>
      </w:pPr>
      <w:r w:rsidRPr="00EA6049">
        <w:rPr>
          <w:color w:val="000000"/>
          <w:lang w:val="de-DE"/>
        </w:rPr>
        <w:t>Bremer Straße 6</w:t>
      </w:r>
    </w:p>
    <w:p w14:paraId="00000043" w14:textId="77777777" w:rsidR="00F77172" w:rsidRDefault="001042FF">
      <w:pPr>
        <w:spacing w:line="240" w:lineRule="auto"/>
        <w:rPr>
          <w:rFonts w:ascii="Times New Roman" w:hAnsi="Times New Roman" w:cs="Times New Roman"/>
          <w:sz w:val="24"/>
          <w:szCs w:val="24"/>
        </w:rPr>
      </w:pPr>
      <w:r>
        <w:rPr>
          <w:color w:val="000000"/>
        </w:rPr>
        <w:t>21244 Buchholz</w:t>
      </w:r>
    </w:p>
    <w:sectPr w:rsidR="00F77172">
      <w:headerReference w:type="even" r:id="rId18"/>
      <w:headerReference w:type="default" r:id="rId19"/>
      <w:footerReference w:type="even" r:id="rId20"/>
      <w:footerReference w:type="default" r:id="rId21"/>
      <w:headerReference w:type="first" r:id="rId22"/>
      <w:footerReference w:type="first" r:id="rId23"/>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CF2" w14:textId="77777777" w:rsidR="00622148" w:rsidRDefault="00622148">
      <w:pPr>
        <w:spacing w:line="240" w:lineRule="auto"/>
      </w:pPr>
      <w:r>
        <w:separator/>
      </w:r>
    </w:p>
  </w:endnote>
  <w:endnote w:type="continuationSeparator" w:id="0">
    <w:p w14:paraId="5F1D37B8" w14:textId="77777777" w:rsidR="00622148" w:rsidRDefault="00622148">
      <w:pPr>
        <w:spacing w:line="240" w:lineRule="auto"/>
      </w:pPr>
      <w:r>
        <w:continuationSeparator/>
      </w:r>
    </w:p>
  </w:endnote>
  <w:endnote w:type="continuationNotice" w:id="1">
    <w:p w14:paraId="42AB67C3" w14:textId="77777777" w:rsidR="00622148" w:rsidRDefault="006221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040D36" w:rsidRDefault="00040D36">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040D36" w:rsidRDefault="00040D36">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040D36" w:rsidRDefault="00040D36">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4B44" w14:textId="77777777" w:rsidR="00622148" w:rsidRDefault="00622148">
      <w:pPr>
        <w:spacing w:line="240" w:lineRule="auto"/>
      </w:pPr>
      <w:r>
        <w:separator/>
      </w:r>
    </w:p>
  </w:footnote>
  <w:footnote w:type="continuationSeparator" w:id="0">
    <w:p w14:paraId="7B848433" w14:textId="77777777" w:rsidR="00622148" w:rsidRDefault="00622148">
      <w:pPr>
        <w:spacing w:line="240" w:lineRule="auto"/>
      </w:pPr>
      <w:r>
        <w:continuationSeparator/>
      </w:r>
    </w:p>
  </w:footnote>
  <w:footnote w:type="continuationNotice" w:id="1">
    <w:p w14:paraId="4AD419E5" w14:textId="77777777" w:rsidR="00622148" w:rsidRDefault="006221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040D36" w:rsidRDefault="00040D36">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5"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6"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7"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8"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9"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A"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B"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C" w14:textId="77777777" w:rsidR="00040D36" w:rsidRDefault="00040D36">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040D36" w:rsidRDefault="00040D36">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2"/>
    <w:rsid w:val="00040D36"/>
    <w:rsid w:val="00070DFF"/>
    <w:rsid w:val="000752D1"/>
    <w:rsid w:val="001042FF"/>
    <w:rsid w:val="00117FA3"/>
    <w:rsid w:val="0019718E"/>
    <w:rsid w:val="0023784A"/>
    <w:rsid w:val="003065A6"/>
    <w:rsid w:val="003232C3"/>
    <w:rsid w:val="003744C4"/>
    <w:rsid w:val="00384190"/>
    <w:rsid w:val="004B1776"/>
    <w:rsid w:val="004D73A8"/>
    <w:rsid w:val="004F5325"/>
    <w:rsid w:val="005307C5"/>
    <w:rsid w:val="00542BA0"/>
    <w:rsid w:val="005D64D2"/>
    <w:rsid w:val="00622148"/>
    <w:rsid w:val="0062679C"/>
    <w:rsid w:val="00645A08"/>
    <w:rsid w:val="0068252D"/>
    <w:rsid w:val="00684316"/>
    <w:rsid w:val="006D6CA1"/>
    <w:rsid w:val="006F2FD5"/>
    <w:rsid w:val="00721DA4"/>
    <w:rsid w:val="007870E2"/>
    <w:rsid w:val="008002F2"/>
    <w:rsid w:val="00837935"/>
    <w:rsid w:val="00852931"/>
    <w:rsid w:val="00860737"/>
    <w:rsid w:val="008F34FC"/>
    <w:rsid w:val="009632E8"/>
    <w:rsid w:val="009665EE"/>
    <w:rsid w:val="009756F3"/>
    <w:rsid w:val="009D7E25"/>
    <w:rsid w:val="00A64096"/>
    <w:rsid w:val="00A92FE4"/>
    <w:rsid w:val="00AD79BA"/>
    <w:rsid w:val="00B10892"/>
    <w:rsid w:val="00B150B7"/>
    <w:rsid w:val="00B22643"/>
    <w:rsid w:val="00B44EF3"/>
    <w:rsid w:val="00C16E95"/>
    <w:rsid w:val="00CF301B"/>
    <w:rsid w:val="00CF469F"/>
    <w:rsid w:val="00D25EE4"/>
    <w:rsid w:val="00D52A8F"/>
    <w:rsid w:val="00D70167"/>
    <w:rsid w:val="00D9033E"/>
    <w:rsid w:val="00DE587E"/>
    <w:rsid w:val="00E81B20"/>
    <w:rsid w:val="00EA6049"/>
    <w:rsid w:val="00EB255B"/>
    <w:rsid w:val="00EE6962"/>
    <w:rsid w:val="00F43DB0"/>
    <w:rsid w:val="00F77172"/>
    <w:rsid w:val="00FC6D51"/>
    <w:rsid w:val="12258FE2"/>
    <w:rsid w:val="13FF4C18"/>
    <w:rsid w:val="14507825"/>
    <w:rsid w:val="1D0DDEFF"/>
    <w:rsid w:val="232F769F"/>
    <w:rsid w:val="4E2264CF"/>
    <w:rsid w:val="538B46C8"/>
    <w:rsid w:val="706EB2C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159A"/>
  <w15:docId w15:val="{6D176621-B181-4FC0-8AC8-96995C1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character" w:customStyle="1" w:styleId="apple-tab-span">
    <w:name w:val="apple-tab-span"/>
    <w:basedOn w:val="Absatz-Standardschriftart"/>
    <w:rsid w:val="00A55231"/>
  </w:style>
  <w:style w:type="character" w:customStyle="1" w:styleId="berschrift3Zchn">
    <w:name w:val="Überschrift 3 Zchn"/>
    <w:basedOn w:val="Absatz-Standardschriftart"/>
    <w:link w:val="berschrift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u-paragraph-medium">
    <w:name w:val="u-paragraph-medium"/>
    <w:basedOn w:val="Absatz-Standardschriftart"/>
    <w:rsid w:val="00312A6D"/>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gatec.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ngatec.com/en/products/smarc/conga-STDA4/" TargetMode="External"/><Relationship Id="rId17" Type="http://schemas.openxmlformats.org/officeDocument/2006/relationships/hyperlink" Target="mailto:julia.wolff@publitek.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ngate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user/congatecAE"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congatec/" TargetMode="External"/><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eQ4UqHB9ZvaZSdYzkcZsOjL8w==">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</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13A69-BAE5-43E0-85A0-C76E9FB7758F}">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AFAF364-6307-454A-9C9F-B559FB481056}">
  <ds:schemaRefs>
    <ds:schemaRef ds:uri="http://schemas.microsoft.com/sharepoint/v3/contenttype/forms"/>
  </ds:schemaRefs>
</ds:datastoreItem>
</file>

<file path=customXml/itemProps4.xml><?xml version="1.0" encoding="utf-8"?>
<ds:datastoreItem xmlns:ds="http://schemas.openxmlformats.org/officeDocument/2006/customXml" ds:itemID="{98501CEF-6207-4FB4-89A5-E8B461B48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3</cp:revision>
  <dcterms:created xsi:type="dcterms:W3CDTF">2023-09-26T13:43:00Z</dcterms:created>
  <dcterms:modified xsi:type="dcterms:W3CDTF">2023-09-26T14:02:00Z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