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DD13" w14:textId="77777777" w:rsidR="00112510" w:rsidRPr="00D2438D" w:rsidRDefault="00FC2C75" w:rsidP="0040683B">
      <w:pPr>
        <w:pStyle w:val="Heading1"/>
      </w:pPr>
      <w:r w:rsidRPr="00D2438D">
        <w:drawing>
          <wp:anchor distT="0" distB="0" distL="114300" distR="114300" simplePos="0" relativeHeight="251658240" behindDoc="0" locked="0" layoutInCell="1" allowOverlap="1" wp14:anchorId="37A6A767" wp14:editId="0F70EC8B">
            <wp:simplePos x="0" y="0"/>
            <wp:positionH relativeFrom="column">
              <wp:posOffset>4352536</wp:posOffset>
            </wp:positionH>
            <wp:positionV relativeFrom="paragraph">
              <wp:posOffset>-650553</wp:posOffset>
            </wp:positionV>
            <wp:extent cx="1147834" cy="900752"/>
            <wp:effectExtent l="19050" t="0" r="0" b="0"/>
            <wp:wrapNone/>
            <wp:docPr id="2"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47834" cy="900752"/>
                    </a:xfrm>
                    <a:prstGeom prst="rect">
                      <a:avLst/>
                    </a:prstGeom>
                  </pic:spPr>
                </pic:pic>
              </a:graphicData>
            </a:graphic>
          </wp:anchor>
        </w:drawing>
      </w:r>
      <w:r w:rsidR="00112510" w:rsidRPr="00D2438D">
        <w:t>Communiqué de presse</w:t>
      </w:r>
    </w:p>
    <w:p w14:paraId="15871884" w14:textId="77777777" w:rsidR="00C958C5" w:rsidRPr="00D2438D" w:rsidRDefault="00C958C5" w:rsidP="008F5898">
      <w:pPr>
        <w:spacing w:line="276" w:lineRule="auto"/>
        <w:rPr>
          <w:noProof/>
          <w:lang w:eastAsia="de-DE"/>
        </w:rPr>
      </w:pPr>
    </w:p>
    <w:p w14:paraId="7AC44808" w14:textId="77777777" w:rsidR="00C958C5" w:rsidRPr="00D2438D" w:rsidRDefault="00C958C5" w:rsidP="008F5898">
      <w:pPr>
        <w:spacing w:line="276" w:lineRule="auto"/>
      </w:pPr>
    </w:p>
    <w:p w14:paraId="66B0024D" w14:textId="77777777" w:rsidR="004544FE" w:rsidRPr="00D2438D" w:rsidRDefault="004544FE" w:rsidP="004544FE">
      <w:pPr>
        <w:spacing w:line="276" w:lineRule="auto"/>
      </w:pPr>
      <w:proofErr w:type="gramStart"/>
      <w:r w:rsidRPr="00D2438D">
        <w:t>congatec</w:t>
      </w:r>
      <w:proofErr w:type="gramEnd"/>
      <w:r w:rsidRPr="00D2438D">
        <w:t xml:space="preserve"> présente cinq nouveaux modules COM-HPC Server Taille D équipés de processeurs Intel Xeon D-2700 selon l’approche “</w:t>
      </w:r>
      <w:proofErr w:type="spellStart"/>
      <w:r w:rsidRPr="00D2438D">
        <w:t>less</w:t>
      </w:r>
      <w:proofErr w:type="spellEnd"/>
      <w:r w:rsidRPr="00D2438D">
        <w:t xml:space="preserve"> </w:t>
      </w:r>
      <w:proofErr w:type="spellStart"/>
      <w:r w:rsidRPr="00D2438D">
        <w:t>is</w:t>
      </w:r>
      <w:proofErr w:type="spellEnd"/>
      <w:r w:rsidRPr="00D2438D">
        <w:t xml:space="preserve"> more” (moins c’est plus)</w:t>
      </w:r>
    </w:p>
    <w:p w14:paraId="0955344B" w14:textId="77777777" w:rsidR="004544FE" w:rsidRPr="00D2438D" w:rsidRDefault="004544FE" w:rsidP="004544FE">
      <w:pPr>
        <w:spacing w:line="276" w:lineRule="auto"/>
      </w:pPr>
    </w:p>
    <w:p w14:paraId="24C3DF70" w14:textId="77777777" w:rsidR="004544FE" w:rsidRPr="00D2438D" w:rsidRDefault="004544FE" w:rsidP="004544FE">
      <w:pPr>
        <w:spacing w:line="276" w:lineRule="auto"/>
        <w:rPr>
          <w:rStyle w:val="Kommentarzeichen1"/>
          <w:b/>
          <w:sz w:val="36"/>
          <w:szCs w:val="36"/>
        </w:rPr>
      </w:pPr>
      <w:r w:rsidRPr="00D2438D">
        <w:rPr>
          <w:rStyle w:val="Kommentarzeichen1"/>
          <w:b/>
          <w:sz w:val="36"/>
          <w:szCs w:val="36"/>
        </w:rPr>
        <w:t>Une avancée dans le monde des serveurs mixtes en temps réel</w:t>
      </w:r>
    </w:p>
    <w:p w14:paraId="095F9C64" w14:textId="77777777" w:rsidR="004544FE" w:rsidRPr="00D2438D" w:rsidRDefault="004544FE" w:rsidP="004544FE">
      <w:pPr>
        <w:rPr>
          <w:rStyle w:val="Kommentarzeichen1"/>
          <w:bCs/>
          <w:i/>
          <w:iCs/>
          <w:sz w:val="18"/>
          <w:szCs w:val="18"/>
        </w:rPr>
      </w:pPr>
    </w:p>
    <w:p w14:paraId="33FF4D7E" w14:textId="77777777" w:rsidR="004544FE" w:rsidRPr="00D2438D" w:rsidRDefault="004544FE" w:rsidP="004544FE">
      <w:pPr>
        <w:rPr>
          <w:rStyle w:val="Kommentarzeichen1"/>
          <w:bCs/>
          <w:i/>
          <w:iCs/>
          <w:sz w:val="18"/>
          <w:szCs w:val="18"/>
          <w:lang w:val="en-US"/>
        </w:rPr>
      </w:pPr>
      <w:r w:rsidRPr="00D2438D">
        <w:rPr>
          <w:rStyle w:val="Kommentarzeichen1"/>
          <w:bCs/>
          <w:i/>
          <w:iCs/>
          <w:noProof/>
          <w:sz w:val="18"/>
          <w:szCs w:val="18"/>
          <w:lang w:val="en-US"/>
        </w:rPr>
        <w:drawing>
          <wp:inline distT="0" distB="0" distL="0" distR="0" wp14:anchorId="58E9190E" wp14:editId="01731052">
            <wp:extent cx="5581650" cy="3133725"/>
            <wp:effectExtent l="0" t="0" r="0" b="9525"/>
            <wp:docPr id="3" name="Grafik 3"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644CB835" w14:textId="77777777" w:rsidR="004544FE" w:rsidRPr="00D2438D" w:rsidRDefault="004544FE" w:rsidP="004544FE">
      <w:pPr>
        <w:rPr>
          <w:rStyle w:val="Kommentarzeichen1"/>
          <w:bCs/>
          <w:i/>
          <w:iCs/>
          <w:sz w:val="18"/>
          <w:szCs w:val="18"/>
        </w:rPr>
      </w:pPr>
      <w:r w:rsidRPr="00D2438D">
        <w:rPr>
          <w:rStyle w:val="Kommentarzeichen1"/>
          <w:bCs/>
          <w:i/>
          <w:iCs/>
          <w:sz w:val="18"/>
          <w:szCs w:val="18"/>
        </w:rPr>
        <w:t>Server-on-Modules de congatec équipés du processeur Intel Xeon D-2700 au format compact COM-HPC Server Taille D</w:t>
      </w:r>
    </w:p>
    <w:p w14:paraId="6E43B67F" w14:textId="77777777" w:rsidR="004544FE" w:rsidRPr="00D2438D" w:rsidRDefault="004544FE" w:rsidP="004544FE">
      <w:pPr>
        <w:rPr>
          <w:rStyle w:val="Kommentarzeichen1"/>
          <w:b/>
          <w:sz w:val="22"/>
          <w:szCs w:val="22"/>
        </w:rPr>
      </w:pPr>
    </w:p>
    <w:p w14:paraId="36BD1FE5" w14:textId="682468B9" w:rsidR="004544FE" w:rsidRPr="00D2438D" w:rsidRDefault="004544FE" w:rsidP="004544FE">
      <w:r w:rsidRPr="00D2438D">
        <w:rPr>
          <w:b/>
          <w:bCs/>
        </w:rPr>
        <w:t>Deggendorf/Nuremberg, Allemagne, 21 juin 2022</w:t>
      </w:r>
      <w:r w:rsidRPr="00D2438D">
        <w:t xml:space="preserve"> * * * congatec - l'un des principaux fournisseurs de technologies informatiques embarquées et </w:t>
      </w:r>
      <w:proofErr w:type="spellStart"/>
      <w:r w:rsidRPr="00D2438D">
        <w:t>edge</w:t>
      </w:r>
      <w:proofErr w:type="spellEnd"/>
      <w:r w:rsidRPr="00D2438D">
        <w:t xml:space="preserve"> - étend sa gamme de Server-on-Modules équipée du processeur Intel Xeon D-2700 en lançant cinq nouveaux modules compacts (160x160 mm) dans la classe de performances COM-HPC Server Taille D. Ce lancement souligne la demande massive de l'industrie pour des performances de serveur </w:t>
      </w:r>
      <w:proofErr w:type="spellStart"/>
      <w:r w:rsidRPr="00D2438D">
        <w:t>edge</w:t>
      </w:r>
      <w:proofErr w:type="spellEnd"/>
      <w:r w:rsidRPr="00D2438D">
        <w:t xml:space="preserve"> dans un petit format robuste et adapté à l'extérieur. Il fait également entrer les processeurs Intel Xeon D-2700, avec jusqu'à 20 cœurs, dans le domaine des applications mixtes exigeantes en temps réel. Par rapport aux modules COM-HPC Server Taille E, plus grands (200x160 mm) déjà disponibles, le nombre de modules DRAM pris en charge est réduit de moitié, passant de 8 à 4 barrettes. Néanmoins, une quantité impressionnante de RAM DDR4 512 Go à 2 933 MT/s </w:t>
      </w:r>
      <w:r w:rsidR="008B6CD0">
        <w:t>peut être utilisée</w:t>
      </w:r>
      <w:r w:rsidRPr="00D2438D">
        <w:t xml:space="preserve">. L'avantage de cette limitation de la RAM est que les modules prennent moins de place, ce qui réduit l'encombrement requis de 20 % par rapport à la Taille E. Les applications cibles des nouveaux modules COM-HPC basés sur le processeur Intel Xeon D-2700 sont le </w:t>
      </w:r>
      <w:r w:rsidRPr="00D2438D">
        <w:lastRenderedPageBreak/>
        <w:t xml:space="preserve">déploiement de serveurs </w:t>
      </w:r>
      <w:proofErr w:type="spellStart"/>
      <w:r w:rsidRPr="00D2438D">
        <w:t>edge</w:t>
      </w:r>
      <w:proofErr w:type="spellEnd"/>
      <w:r w:rsidRPr="00D2438D">
        <w:t xml:space="preserve"> intégrés </w:t>
      </w:r>
      <w:r w:rsidR="008B6CD0">
        <w:t>de petit formats</w:t>
      </w:r>
      <w:r w:rsidRPr="00D2438D">
        <w:t>, avec un débit de données élevé mais des charges de travail moins gourmandes en mémoire. On les trouve généralement dans les environnements temps réel en réseau IIoT des usines intelligentes et des infrastructures critiques.</w:t>
      </w:r>
    </w:p>
    <w:p w14:paraId="107D747A" w14:textId="77777777" w:rsidR="004544FE" w:rsidRPr="00D2438D" w:rsidRDefault="004544FE" w:rsidP="004544FE"/>
    <w:p w14:paraId="37EA2F75" w14:textId="57D27785" w:rsidR="004544FE" w:rsidRPr="00D2438D" w:rsidRDefault="004544FE" w:rsidP="004544FE">
      <w:r w:rsidRPr="00D2438D">
        <w:t>"Notre lancement traduit ce qu’on appelle “</w:t>
      </w:r>
      <w:proofErr w:type="spellStart"/>
      <w:r w:rsidRPr="00D2438D">
        <w:t>less</w:t>
      </w:r>
      <w:proofErr w:type="spellEnd"/>
      <w:r w:rsidRPr="00D2438D">
        <w:t xml:space="preserve"> </w:t>
      </w:r>
      <w:proofErr w:type="spellStart"/>
      <w:r w:rsidRPr="00D2438D">
        <w:t>is</w:t>
      </w:r>
      <w:proofErr w:type="spellEnd"/>
      <w:r w:rsidRPr="00D2438D">
        <w:t xml:space="preserve"> more” (moins c’est plus) : les applications serveur </w:t>
      </w:r>
      <w:proofErr w:type="spellStart"/>
      <w:r w:rsidRPr="00D2438D">
        <w:t>edge</w:t>
      </w:r>
      <w:proofErr w:type="spellEnd"/>
      <w:r w:rsidRPr="00D2438D">
        <w:t xml:space="preserve"> mixtes n'ont pas à gérer des charges de travail serveur gourmandes en RAM. Elles doivent plutôt héberger plusieurs applications en temps réel côte à côte et ont donc besoin d'autant de cœurs que possible. Elles doivent également répondre aux exigences des communications industrielles avec de nombreux petits paquets de messages qui doivent être traités en temps réel. Là encore, la mémoire n'est pas aussi critique que sur les serveurs web pilotés par des bases de données et utilisés par des milliers de personnes en parallèle. Il est vrai que les clients peuvent faire fonctionner les modules COM-HPC Server Taille E avec seulement 4 barrettes de RAM. Cependant, le gain de place est également très important pour eux. C'est pourquoi nous proposons désormais également le processeur Intel Xeon dans les modules COM-HPC Server Taille D", explique Martin </w:t>
      </w:r>
      <w:proofErr w:type="spellStart"/>
      <w:r w:rsidRPr="00D2438D">
        <w:t>Danzer</w:t>
      </w:r>
      <w:proofErr w:type="spellEnd"/>
      <w:r w:rsidRPr="00D2438D">
        <w:t xml:space="preserve">, </w:t>
      </w:r>
      <w:proofErr w:type="gramStart"/>
      <w:r w:rsidRPr="00D2438D">
        <w:t>directeur produits</w:t>
      </w:r>
      <w:proofErr w:type="gramEnd"/>
      <w:r w:rsidRPr="00D2438D">
        <w:t xml:space="preserve"> chez congatec.</w:t>
      </w:r>
    </w:p>
    <w:p w14:paraId="2E2B6BC1" w14:textId="77777777" w:rsidR="004544FE" w:rsidRPr="00D2438D" w:rsidRDefault="004544FE" w:rsidP="004544FE"/>
    <w:p w14:paraId="52D19332" w14:textId="53F227B6" w:rsidR="004544FE" w:rsidRPr="00D2438D" w:rsidRDefault="004544FE" w:rsidP="004544FE">
      <w:r w:rsidRPr="00D2438D">
        <w:t xml:space="preserve">Indépendamment des différentes spécifications du Server-on-Module, tous les modules congatec COM-HPC Server avec processeurs Intel Xeon (anciennement </w:t>
      </w:r>
      <w:proofErr w:type="spellStart"/>
      <w:r w:rsidRPr="00D2438D">
        <w:t>Ice</w:t>
      </w:r>
      <w:proofErr w:type="spellEnd"/>
      <w:r w:rsidRPr="00D2438D">
        <w:t xml:space="preserve"> Lake D) Taille E et D ainsi qu</w:t>
      </w:r>
      <w:r w:rsidR="008B6CD0">
        <w:t>’en</w:t>
      </w:r>
      <w:r w:rsidRPr="00D2438D">
        <w:t xml:space="preserve"> format COM Express Type 7 accélèrent la prochaine génération de </w:t>
      </w:r>
      <w:proofErr w:type="spellStart"/>
      <w:r w:rsidRPr="00D2438D">
        <w:t>microserveur</w:t>
      </w:r>
      <w:r w:rsidR="008B6CD0">
        <w:t>s</w:t>
      </w:r>
      <w:proofErr w:type="spellEnd"/>
      <w:r w:rsidRPr="00D2438D">
        <w:t xml:space="preserve"> temps réel dans des environnements robustes et des plages de température étendues. Les améliorations comprennent jusqu'à 20 cœurs, jusqu'à 1 To de RAM, un doublement du débit par voie PCIe en vitesses </w:t>
      </w:r>
      <w:proofErr w:type="spellStart"/>
      <w:r w:rsidRPr="00D2438D">
        <w:t>Gen</w:t>
      </w:r>
      <w:proofErr w:type="spellEnd"/>
      <w:r w:rsidRPr="00D2438D">
        <w:t xml:space="preserve"> 4, ainsi qu’une connectivité jusqu'à 100 </w:t>
      </w:r>
      <w:proofErr w:type="spellStart"/>
      <w:r w:rsidRPr="00D2438D">
        <w:t>GbE</w:t>
      </w:r>
      <w:proofErr w:type="spellEnd"/>
      <w:r w:rsidRPr="00D2438D">
        <w:t xml:space="preserve"> et une prise en charge TCC/TSN. Les applications visées vont des serveurs de consolidation des charges pour l'automatisation</w:t>
      </w:r>
      <w:r w:rsidR="008B6CD0">
        <w:t xml:space="preserve"> industrielle</w:t>
      </w:r>
      <w:r w:rsidRPr="00D2438D">
        <w:t>, la robotique et l'imagerie médicale backend aux serveurs extérieurs pour les services publics et les infrastructures critiques - tels que les réseaux intelligents pour le pétrole, le gaz et l'électricité ainsi que les réseaux ferroviaires et de communication - et comprennent également des applications de vision telles que les véhicules autonomes et les infrastructures vidéo de surveillance et de sécurité.</w:t>
      </w:r>
    </w:p>
    <w:p w14:paraId="4D08B4F6" w14:textId="77777777" w:rsidR="004544FE" w:rsidRPr="00D2438D" w:rsidRDefault="004544FE" w:rsidP="004544FE"/>
    <w:p w14:paraId="62132C5D" w14:textId="558F082B" w:rsidR="004544FE" w:rsidRPr="00D2438D" w:rsidRDefault="004544FE" w:rsidP="004544FE">
      <w:r w:rsidRPr="00D2438D">
        <w:t xml:space="preserve">Outre les améliorations considérables en termes de bande passante et de performances, la famille de Server-on-Modules de congatec prolongent de manière significative le cycle de vie de la nouvelle génération de serveurs </w:t>
      </w:r>
      <w:proofErr w:type="spellStart"/>
      <w:r w:rsidRPr="00D2438D">
        <w:t>edge</w:t>
      </w:r>
      <w:proofErr w:type="spellEnd"/>
      <w:r w:rsidRPr="00D2438D">
        <w:t xml:space="preserve"> robustes par rapport aux serveurs </w:t>
      </w:r>
      <w:r w:rsidRPr="00D2438D">
        <w:lastRenderedPageBreak/>
        <w:t xml:space="preserve">ordinaires, la disponibilité à long terme pouvant atteindre dix ans faisant partie de la feuille de route. Cette famille de modules convainc davantage également par un ensemble complet de fonctionnalités de qualité serveur : pour les conceptions critiques, elles offrent de puissantes fonctions de sécurité, notamment Intel Boot Guard, Intel Total Memory </w:t>
      </w:r>
      <w:proofErr w:type="spellStart"/>
      <w:r w:rsidRPr="00D2438D">
        <w:t>Encryption</w:t>
      </w:r>
      <w:proofErr w:type="spellEnd"/>
      <w:r w:rsidRPr="00D2438D">
        <w:t xml:space="preserve"> - Multi-Tenant (Intel TME-MT) et Intel Software Guard Extensions (Intel SGX). Les applications d'intelligence artificielle bénéficient d'une accélération </w:t>
      </w:r>
      <w:r w:rsidR="00076185">
        <w:t>Hardware</w:t>
      </w:r>
      <w:r w:rsidR="00076185" w:rsidRPr="00D2438D">
        <w:t xml:space="preserve"> </w:t>
      </w:r>
      <w:r w:rsidRPr="00D2438D">
        <w:t>intégrée, notamment AVX-512 et VNNI.</w:t>
      </w:r>
    </w:p>
    <w:p w14:paraId="1499D450" w14:textId="77777777" w:rsidR="004544FE" w:rsidRPr="00D2438D" w:rsidRDefault="004544FE" w:rsidP="004544FE">
      <w:pPr>
        <w:rPr>
          <w:b/>
        </w:rPr>
      </w:pPr>
    </w:p>
    <w:p w14:paraId="6C72C372" w14:textId="77777777" w:rsidR="004544FE" w:rsidRPr="00D2438D" w:rsidRDefault="004544FE" w:rsidP="004544FE">
      <w:pPr>
        <w:rPr>
          <w:b/>
          <w:bCs/>
        </w:rPr>
      </w:pPr>
      <w:r w:rsidRPr="00D2438D">
        <w:rPr>
          <w:b/>
          <w:bCs/>
        </w:rPr>
        <w:t>L'ensemble des fonctionnalités en détail</w:t>
      </w:r>
    </w:p>
    <w:p w14:paraId="09C0EA13" w14:textId="0EAB6E32" w:rsidR="004544FE" w:rsidRPr="00D2438D" w:rsidRDefault="004544FE" w:rsidP="004544FE">
      <w:r w:rsidRPr="00D2438D">
        <w:t>Les cinq nouveaux Server-on-Modules conga-HPC/</w:t>
      </w:r>
      <w:proofErr w:type="spellStart"/>
      <w:r w:rsidRPr="00D2438D">
        <w:t>sILH</w:t>
      </w:r>
      <w:proofErr w:type="spellEnd"/>
      <w:r w:rsidRPr="00D2438D">
        <w:t xml:space="preserve"> avec processeurs Intel Xeon D-2700 </w:t>
      </w:r>
      <w:proofErr w:type="spellStart"/>
      <w:r w:rsidRPr="00D2438D">
        <w:t>series</w:t>
      </w:r>
      <w:proofErr w:type="spellEnd"/>
      <w:r w:rsidRPr="00D2438D">
        <w:t xml:space="preserve"> étendent la famille de produits COM-HPC Server Taille D existants de congatec aux processeurs Intel Xeon D-1700. Les deux séries de processeurs sont basées sur la génération anciennement connue sous le nom de code </w:t>
      </w:r>
      <w:proofErr w:type="spellStart"/>
      <w:r w:rsidRPr="00D2438D">
        <w:t>Ice</w:t>
      </w:r>
      <w:proofErr w:type="spellEnd"/>
      <w:r w:rsidRPr="00D2438D">
        <w:t xml:space="preserve"> Lake. Ce lancement double le nombre de cœurs disponibles de ce Server-on-Module compact et haute performance de 160x160 mm, qui passe de 10 à 20. La prise en charge de la mémoire est étendue, passant de trois à quatre canaux de mémoire vive DDR4 avec jusqu'à 512 Go à 2 933 MT/s. Pour la connexion d'une large gamme de contrôleurs dédiés, de cartes accélératrices de calcul et de supports de stockage </w:t>
      </w:r>
      <w:proofErr w:type="spellStart"/>
      <w:r w:rsidRPr="00D2438D">
        <w:t>NVMe</w:t>
      </w:r>
      <w:proofErr w:type="spellEnd"/>
      <w:r w:rsidRPr="00D2438D">
        <w:t xml:space="preserve"> dans des installations de serveurs </w:t>
      </w:r>
      <w:proofErr w:type="spellStart"/>
      <w:r w:rsidRPr="00D2438D">
        <w:t>edge</w:t>
      </w:r>
      <w:proofErr w:type="spellEnd"/>
      <w:r w:rsidRPr="00D2438D">
        <w:t xml:space="preserve"> robustes, ils disposent de PCIe </w:t>
      </w:r>
      <w:proofErr w:type="spellStart"/>
      <w:r w:rsidRPr="00D2438D">
        <w:t>Gen</w:t>
      </w:r>
      <w:proofErr w:type="spellEnd"/>
      <w:r w:rsidRPr="00D2438D">
        <w:t xml:space="preserve"> 4 32</w:t>
      </w:r>
      <w:proofErr w:type="gramStart"/>
      <w:r w:rsidRPr="00D2438D">
        <w:t>x  en</w:t>
      </w:r>
      <w:proofErr w:type="gramEnd"/>
      <w:r w:rsidRPr="00D2438D">
        <w:t xml:space="preserve"> plus de PCIe </w:t>
      </w:r>
      <w:proofErr w:type="spellStart"/>
      <w:r w:rsidRPr="00D2438D">
        <w:t>Gen</w:t>
      </w:r>
      <w:proofErr w:type="spellEnd"/>
      <w:r w:rsidRPr="00D2438D">
        <w:t xml:space="preserve"> 3 16x. Pour la mise en réseau en temps réel, il y a 2,5 </w:t>
      </w:r>
      <w:proofErr w:type="spellStart"/>
      <w:r w:rsidRPr="00D2438D">
        <w:t>GbE</w:t>
      </w:r>
      <w:proofErr w:type="spellEnd"/>
      <w:r w:rsidRPr="00D2438D">
        <w:t xml:space="preserve"> 1x avec prise en charge de TSN et TCC en plus d'une bande passante Ethernet étendue de 100 </w:t>
      </w:r>
      <w:proofErr w:type="spellStart"/>
      <w:r w:rsidRPr="00D2438D">
        <w:t>Gbps</w:t>
      </w:r>
      <w:proofErr w:type="spellEnd"/>
      <w:r w:rsidRPr="00D2438D">
        <w:t xml:space="preserve"> dans diverses configurations, notamment 100 </w:t>
      </w:r>
      <w:proofErr w:type="spellStart"/>
      <w:r w:rsidRPr="00D2438D">
        <w:t>GbE</w:t>
      </w:r>
      <w:proofErr w:type="spellEnd"/>
      <w:r w:rsidRPr="00D2438D">
        <w:t xml:space="preserve"> 1x, 50 </w:t>
      </w:r>
      <w:proofErr w:type="spellStart"/>
      <w:r w:rsidRPr="00D2438D">
        <w:t>GbE</w:t>
      </w:r>
      <w:proofErr w:type="spellEnd"/>
      <w:r w:rsidRPr="00D2438D">
        <w:t xml:space="preserve"> 2x, 25 </w:t>
      </w:r>
      <w:proofErr w:type="spellStart"/>
      <w:r w:rsidRPr="00D2438D">
        <w:t>GbE</w:t>
      </w:r>
      <w:proofErr w:type="spellEnd"/>
      <w:r w:rsidRPr="00D2438D">
        <w:t xml:space="preserve"> 4x ainsi que plusieurs autres configurations via des interfaces KR ou SFI. D'autres interfaces incluent USB 3.1 4x, et USB 2.0 4x. Pour le stockage non volatile, les modules prennent en charge, en option, une carte </w:t>
      </w:r>
      <w:proofErr w:type="spellStart"/>
      <w:r w:rsidRPr="00D2438D">
        <w:t>eMMC</w:t>
      </w:r>
      <w:proofErr w:type="spellEnd"/>
      <w:r w:rsidRPr="00D2438D">
        <w:t xml:space="preserve"> 5.1 intégrée d'une capacité maximale de 128 Go ainsi que deux interfaces SATA III.</w:t>
      </w:r>
    </w:p>
    <w:p w14:paraId="48E07F8B" w14:textId="77777777" w:rsidR="004544FE" w:rsidRPr="00D2438D" w:rsidRDefault="004544FE" w:rsidP="004544FE"/>
    <w:p w14:paraId="6789CA84" w14:textId="17349464" w:rsidR="004544FE" w:rsidRPr="00D2438D" w:rsidRDefault="004544FE" w:rsidP="004544FE">
      <w:r w:rsidRPr="00D2438D">
        <w:t>Les nouveaux Server-on-Modules COM-HPC sont livrés avec des BSP (</w:t>
      </w:r>
      <w:proofErr w:type="spellStart"/>
      <w:r w:rsidRPr="00D2438D">
        <w:t>board</w:t>
      </w:r>
      <w:proofErr w:type="spellEnd"/>
      <w:r w:rsidRPr="00D2438D">
        <w:t xml:space="preserve"> support packages) pour Windows, Linux et VxWorks. Pour la consolidation des charges de travail, le support des machines virtuelles en temps réel est disponible grâce au support complet par congatec des implémentations de l'hyperviseur RTS de Real-Time </w:t>
      </w:r>
      <w:proofErr w:type="spellStart"/>
      <w:r w:rsidRPr="00D2438D">
        <w:t>Systems</w:t>
      </w:r>
      <w:proofErr w:type="spellEnd"/>
      <w:r w:rsidRPr="00D2438D">
        <w:t xml:space="preserve">. </w:t>
      </w:r>
      <w:proofErr w:type="gramStart"/>
      <w:r w:rsidRPr="00D2438D">
        <w:t>congatec</w:t>
      </w:r>
      <w:proofErr w:type="gramEnd"/>
      <w:r w:rsidRPr="00D2438D">
        <w:t xml:space="preserve"> propose également des solutions de refroidissement parfaitement adaptées, allant d'un puissant refroidissement actif à des solutions de refroidissement entièrement passives pour une meilleure résistance mécanique aux vibrations et aux chocs.</w:t>
      </w:r>
    </w:p>
    <w:p w14:paraId="2C2B0DAF" w14:textId="77777777" w:rsidR="004544FE" w:rsidRPr="00D2438D" w:rsidRDefault="004544FE" w:rsidP="004544FE">
      <w:r w:rsidRPr="00D2438D">
        <w:lastRenderedPageBreak/>
        <w:t>Les nouveaux modules conga-HPC/</w:t>
      </w:r>
      <w:proofErr w:type="spellStart"/>
      <w:r w:rsidRPr="00D2438D">
        <w:t>sILH</w:t>
      </w:r>
      <w:proofErr w:type="spellEnd"/>
      <w:r w:rsidRPr="00D2438D">
        <w:t xml:space="preserve"> COM-HPC Server Taille D équipés de processeur Intel Xeon D-2700 seront disponibles dans les variants suivants : </w:t>
      </w:r>
    </w:p>
    <w:p w14:paraId="0AB8C35A" w14:textId="77777777" w:rsidR="004544FE" w:rsidRPr="00D2438D" w:rsidRDefault="004544FE" w:rsidP="004544FE"/>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4544FE" w:rsidRPr="00D2438D" w14:paraId="346DC9EA" w14:textId="77777777" w:rsidTr="00F927D5">
        <w:tc>
          <w:tcPr>
            <w:tcW w:w="2041" w:type="dxa"/>
            <w:tcBorders>
              <w:bottom w:val="single" w:sz="4" w:space="0" w:color="auto"/>
            </w:tcBorders>
            <w:shd w:val="clear" w:color="auto" w:fill="auto"/>
            <w:vAlign w:val="center"/>
          </w:tcPr>
          <w:p w14:paraId="6D2AFFD3" w14:textId="77777777" w:rsidR="004544FE" w:rsidRPr="00D2438D" w:rsidRDefault="004544FE" w:rsidP="00F927D5">
            <w:pPr>
              <w:rPr>
                <w:b/>
                <w:sz w:val="18"/>
                <w:szCs w:val="18"/>
                <w:lang w:eastAsia="de-DE"/>
              </w:rPr>
            </w:pPr>
            <w:r w:rsidRPr="00D2438D">
              <w:rPr>
                <w:b/>
                <w:sz w:val="18"/>
                <w:szCs w:val="18"/>
                <w:lang w:eastAsia="de-DE"/>
              </w:rPr>
              <w:t>Processeur</w:t>
            </w:r>
          </w:p>
        </w:tc>
        <w:tc>
          <w:tcPr>
            <w:tcW w:w="283" w:type="dxa"/>
            <w:shd w:val="clear" w:color="auto" w:fill="auto"/>
            <w:vAlign w:val="center"/>
          </w:tcPr>
          <w:p w14:paraId="25A54155" w14:textId="77777777" w:rsidR="004544FE" w:rsidRPr="00D2438D" w:rsidRDefault="004544FE" w:rsidP="00F927D5">
            <w:pPr>
              <w:rPr>
                <w:b/>
                <w:sz w:val="18"/>
                <w:szCs w:val="18"/>
                <w:lang w:eastAsia="de-DE"/>
              </w:rPr>
            </w:pPr>
          </w:p>
        </w:tc>
        <w:tc>
          <w:tcPr>
            <w:tcW w:w="964" w:type="dxa"/>
            <w:tcBorders>
              <w:bottom w:val="single" w:sz="4" w:space="0" w:color="auto"/>
            </w:tcBorders>
            <w:shd w:val="clear" w:color="auto" w:fill="auto"/>
            <w:vAlign w:val="center"/>
          </w:tcPr>
          <w:p w14:paraId="4FC82123" w14:textId="77777777" w:rsidR="004544FE" w:rsidRPr="00D2438D" w:rsidRDefault="004544FE" w:rsidP="00F927D5">
            <w:pPr>
              <w:jc w:val="center"/>
              <w:rPr>
                <w:b/>
                <w:sz w:val="18"/>
                <w:szCs w:val="18"/>
                <w:lang w:eastAsia="de-DE"/>
              </w:rPr>
            </w:pPr>
            <w:proofErr w:type="spellStart"/>
            <w:r w:rsidRPr="00D2438D">
              <w:rPr>
                <w:b/>
                <w:sz w:val="18"/>
                <w:szCs w:val="18"/>
                <w:lang w:eastAsia="de-DE"/>
              </w:rPr>
              <w:t>Coeurs</w:t>
            </w:r>
            <w:proofErr w:type="spellEnd"/>
            <w:r w:rsidRPr="00D2438D">
              <w:rPr>
                <w:b/>
                <w:sz w:val="18"/>
                <w:szCs w:val="18"/>
                <w:lang w:eastAsia="de-DE"/>
              </w:rPr>
              <w:t xml:space="preserve"> / Threads</w:t>
            </w:r>
          </w:p>
        </w:tc>
        <w:tc>
          <w:tcPr>
            <w:tcW w:w="236" w:type="dxa"/>
            <w:shd w:val="clear" w:color="auto" w:fill="auto"/>
            <w:vAlign w:val="center"/>
          </w:tcPr>
          <w:p w14:paraId="4BAC0B97" w14:textId="77777777" w:rsidR="004544FE" w:rsidRPr="00D2438D" w:rsidRDefault="004544FE" w:rsidP="00F927D5">
            <w:pPr>
              <w:jc w:val="center"/>
              <w:rPr>
                <w:b/>
                <w:sz w:val="18"/>
                <w:szCs w:val="18"/>
                <w:lang w:eastAsia="de-DE"/>
              </w:rPr>
            </w:pPr>
          </w:p>
        </w:tc>
        <w:tc>
          <w:tcPr>
            <w:tcW w:w="907" w:type="dxa"/>
            <w:tcBorders>
              <w:bottom w:val="single" w:sz="4" w:space="0" w:color="auto"/>
            </w:tcBorders>
            <w:shd w:val="clear" w:color="auto" w:fill="auto"/>
            <w:vAlign w:val="center"/>
          </w:tcPr>
          <w:p w14:paraId="22456B76" w14:textId="77777777" w:rsidR="004544FE" w:rsidRPr="00D2438D" w:rsidRDefault="004544FE" w:rsidP="00F927D5">
            <w:pPr>
              <w:jc w:val="center"/>
              <w:rPr>
                <w:b/>
                <w:sz w:val="18"/>
                <w:szCs w:val="18"/>
                <w:lang w:eastAsia="de-DE"/>
              </w:rPr>
            </w:pPr>
            <w:proofErr w:type="spellStart"/>
            <w:r w:rsidRPr="00D2438D">
              <w:rPr>
                <w:b/>
                <w:sz w:val="18"/>
                <w:szCs w:val="18"/>
                <w:lang w:eastAsia="de-DE"/>
              </w:rPr>
              <w:t>Freq</w:t>
            </w:r>
            <w:proofErr w:type="spellEnd"/>
            <w:r w:rsidRPr="00D2438D">
              <w:rPr>
                <w:b/>
                <w:sz w:val="18"/>
                <w:szCs w:val="18"/>
                <w:lang w:eastAsia="de-DE"/>
              </w:rPr>
              <w:t xml:space="preserve">. [GHz] </w:t>
            </w:r>
          </w:p>
        </w:tc>
        <w:tc>
          <w:tcPr>
            <w:tcW w:w="236" w:type="dxa"/>
            <w:shd w:val="clear" w:color="auto" w:fill="auto"/>
          </w:tcPr>
          <w:p w14:paraId="5C384BE8" w14:textId="77777777" w:rsidR="004544FE" w:rsidRPr="00D2438D" w:rsidRDefault="004544FE" w:rsidP="00F927D5">
            <w:pPr>
              <w:jc w:val="center"/>
              <w:rPr>
                <w:b/>
                <w:sz w:val="18"/>
                <w:szCs w:val="18"/>
                <w:lang w:eastAsia="de-DE"/>
              </w:rPr>
            </w:pPr>
          </w:p>
        </w:tc>
        <w:tc>
          <w:tcPr>
            <w:tcW w:w="1191" w:type="dxa"/>
            <w:tcBorders>
              <w:bottom w:val="single" w:sz="4" w:space="0" w:color="auto"/>
            </w:tcBorders>
          </w:tcPr>
          <w:p w14:paraId="76C4EC67" w14:textId="77777777" w:rsidR="004544FE" w:rsidRPr="00D2438D" w:rsidRDefault="004544FE" w:rsidP="00F927D5">
            <w:pPr>
              <w:jc w:val="center"/>
              <w:rPr>
                <w:b/>
                <w:bCs/>
                <w:sz w:val="18"/>
                <w:szCs w:val="18"/>
                <w:lang w:eastAsia="de-DE"/>
              </w:rPr>
            </w:pPr>
            <w:r w:rsidRPr="00D2438D">
              <w:rPr>
                <w:b/>
                <w:sz w:val="18"/>
                <w:szCs w:val="18"/>
                <w:lang w:eastAsia="de-DE"/>
              </w:rPr>
              <w:t>Cache LLC [Mo]</w:t>
            </w:r>
          </w:p>
        </w:tc>
        <w:tc>
          <w:tcPr>
            <w:tcW w:w="236" w:type="dxa"/>
          </w:tcPr>
          <w:p w14:paraId="7BAE258C" w14:textId="77777777" w:rsidR="004544FE" w:rsidRPr="00D2438D" w:rsidRDefault="004544FE" w:rsidP="00F927D5">
            <w:pPr>
              <w:jc w:val="center"/>
              <w:rPr>
                <w:b/>
                <w:bCs/>
                <w:sz w:val="18"/>
                <w:szCs w:val="18"/>
                <w:lang w:eastAsia="de-DE"/>
              </w:rPr>
            </w:pPr>
          </w:p>
        </w:tc>
        <w:tc>
          <w:tcPr>
            <w:tcW w:w="1134" w:type="dxa"/>
            <w:tcBorders>
              <w:bottom w:val="single" w:sz="4" w:space="0" w:color="auto"/>
            </w:tcBorders>
            <w:shd w:val="clear" w:color="auto" w:fill="auto"/>
            <w:vAlign w:val="center"/>
          </w:tcPr>
          <w:p w14:paraId="62E36F0F" w14:textId="77777777" w:rsidR="004544FE" w:rsidRPr="00D2438D" w:rsidRDefault="004544FE" w:rsidP="00F927D5">
            <w:pPr>
              <w:jc w:val="center"/>
              <w:rPr>
                <w:b/>
                <w:sz w:val="18"/>
                <w:szCs w:val="18"/>
                <w:lang w:eastAsia="de-DE"/>
              </w:rPr>
            </w:pPr>
            <w:r w:rsidRPr="00D2438D">
              <w:rPr>
                <w:b/>
                <w:bCs/>
                <w:sz w:val="18"/>
                <w:szCs w:val="18"/>
                <w:lang w:eastAsia="de-DE"/>
              </w:rPr>
              <w:t xml:space="preserve">CPU </w:t>
            </w:r>
            <w:r w:rsidRPr="00D2438D">
              <w:rPr>
                <w:b/>
                <w:sz w:val="18"/>
                <w:szCs w:val="18"/>
                <w:lang w:eastAsia="de-DE"/>
              </w:rPr>
              <w:t>Base Power</w:t>
            </w:r>
            <w:r w:rsidRPr="00D2438D" w:rsidDel="009A0C86">
              <w:rPr>
                <w:b/>
                <w:sz w:val="18"/>
                <w:szCs w:val="18"/>
                <w:lang w:eastAsia="de-DE"/>
              </w:rPr>
              <w:t xml:space="preserve"> </w:t>
            </w:r>
            <w:r w:rsidRPr="00D2438D">
              <w:rPr>
                <w:b/>
                <w:sz w:val="18"/>
                <w:szCs w:val="18"/>
                <w:lang w:eastAsia="de-DE"/>
              </w:rPr>
              <w:t>[W]</w:t>
            </w:r>
          </w:p>
        </w:tc>
        <w:tc>
          <w:tcPr>
            <w:tcW w:w="236" w:type="dxa"/>
            <w:shd w:val="clear" w:color="auto" w:fill="auto"/>
            <w:vAlign w:val="center"/>
          </w:tcPr>
          <w:p w14:paraId="4A286E63" w14:textId="77777777" w:rsidR="004544FE" w:rsidRPr="00D2438D" w:rsidRDefault="004544FE" w:rsidP="00F927D5">
            <w:pPr>
              <w:jc w:val="center"/>
              <w:rPr>
                <w:b/>
                <w:sz w:val="18"/>
                <w:szCs w:val="18"/>
                <w:lang w:eastAsia="de-DE"/>
              </w:rPr>
            </w:pPr>
          </w:p>
        </w:tc>
        <w:tc>
          <w:tcPr>
            <w:tcW w:w="1716" w:type="dxa"/>
            <w:tcBorders>
              <w:bottom w:val="single" w:sz="4" w:space="0" w:color="auto"/>
            </w:tcBorders>
            <w:shd w:val="clear" w:color="auto" w:fill="auto"/>
            <w:vAlign w:val="center"/>
          </w:tcPr>
          <w:p w14:paraId="0C1FA0F0" w14:textId="77777777" w:rsidR="004544FE" w:rsidRPr="00D2438D" w:rsidRDefault="004544FE" w:rsidP="00F927D5">
            <w:pPr>
              <w:ind w:right="29"/>
              <w:jc w:val="center"/>
              <w:rPr>
                <w:b/>
                <w:sz w:val="18"/>
                <w:szCs w:val="18"/>
                <w:lang w:eastAsia="de-DE"/>
              </w:rPr>
            </w:pPr>
            <w:r w:rsidRPr="00D2438D">
              <w:rPr>
                <w:b/>
                <w:sz w:val="18"/>
                <w:szCs w:val="18"/>
                <w:lang w:eastAsia="de-DE"/>
              </w:rPr>
              <w:t>Gamme de températures</w:t>
            </w:r>
          </w:p>
        </w:tc>
      </w:tr>
      <w:tr w:rsidR="004544FE" w:rsidRPr="00D2438D" w14:paraId="3BA71196" w14:textId="77777777" w:rsidTr="00F927D5">
        <w:tc>
          <w:tcPr>
            <w:tcW w:w="2041" w:type="dxa"/>
            <w:tcBorders>
              <w:top w:val="single" w:sz="4" w:space="0" w:color="auto"/>
              <w:bottom w:val="single" w:sz="4" w:space="0" w:color="auto"/>
            </w:tcBorders>
            <w:shd w:val="clear" w:color="auto" w:fill="auto"/>
            <w:vAlign w:val="center"/>
          </w:tcPr>
          <w:p w14:paraId="72E7EEB8" w14:textId="77777777" w:rsidR="004544FE" w:rsidRPr="00D2438D" w:rsidRDefault="004544FE" w:rsidP="00F927D5">
            <w:pPr>
              <w:rPr>
                <w:sz w:val="18"/>
                <w:szCs w:val="18"/>
                <w:lang w:eastAsia="de-DE"/>
              </w:rPr>
            </w:pPr>
            <w:r w:rsidRPr="00D2438D">
              <w:rPr>
                <w:sz w:val="18"/>
                <w:szCs w:val="18"/>
                <w:lang w:eastAsia="de-DE"/>
              </w:rPr>
              <w:t>Intel Xeon D-2796TE</w:t>
            </w:r>
          </w:p>
        </w:tc>
        <w:tc>
          <w:tcPr>
            <w:tcW w:w="283" w:type="dxa"/>
            <w:shd w:val="clear" w:color="auto" w:fill="auto"/>
            <w:vAlign w:val="center"/>
          </w:tcPr>
          <w:p w14:paraId="46BE0B72" w14:textId="77777777" w:rsidR="004544FE" w:rsidRPr="00D2438D" w:rsidRDefault="004544FE" w:rsidP="00F927D5">
            <w:pPr>
              <w:rPr>
                <w:sz w:val="18"/>
                <w:szCs w:val="18"/>
              </w:rPr>
            </w:pPr>
          </w:p>
        </w:tc>
        <w:tc>
          <w:tcPr>
            <w:tcW w:w="964" w:type="dxa"/>
            <w:tcBorders>
              <w:top w:val="single" w:sz="4" w:space="0" w:color="auto"/>
              <w:bottom w:val="single" w:sz="4" w:space="0" w:color="auto"/>
            </w:tcBorders>
            <w:shd w:val="clear" w:color="auto" w:fill="auto"/>
            <w:vAlign w:val="center"/>
          </w:tcPr>
          <w:p w14:paraId="03C9DEF9" w14:textId="77777777" w:rsidR="004544FE" w:rsidRPr="00D2438D" w:rsidRDefault="004544FE" w:rsidP="00F927D5">
            <w:pPr>
              <w:jc w:val="center"/>
              <w:rPr>
                <w:sz w:val="18"/>
                <w:szCs w:val="18"/>
              </w:rPr>
            </w:pPr>
            <w:r w:rsidRPr="00D2438D">
              <w:rPr>
                <w:sz w:val="18"/>
                <w:szCs w:val="18"/>
                <w:lang w:eastAsia="de-DE"/>
              </w:rPr>
              <w:t>20 / 40</w:t>
            </w:r>
          </w:p>
        </w:tc>
        <w:tc>
          <w:tcPr>
            <w:tcW w:w="236" w:type="dxa"/>
            <w:shd w:val="clear" w:color="auto" w:fill="auto"/>
            <w:vAlign w:val="center"/>
          </w:tcPr>
          <w:p w14:paraId="727B9FAA" w14:textId="77777777" w:rsidR="004544FE" w:rsidRPr="00D2438D" w:rsidRDefault="004544FE" w:rsidP="00F927D5">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0BA93938" w14:textId="77777777" w:rsidR="004544FE" w:rsidRPr="00D2438D" w:rsidRDefault="004544FE" w:rsidP="00F927D5">
            <w:pPr>
              <w:jc w:val="center"/>
              <w:rPr>
                <w:sz w:val="18"/>
                <w:szCs w:val="18"/>
                <w:lang w:eastAsia="de-DE"/>
              </w:rPr>
            </w:pPr>
            <w:r w:rsidRPr="00D2438D">
              <w:rPr>
                <w:sz w:val="18"/>
                <w:szCs w:val="18"/>
                <w:lang w:eastAsia="de-DE"/>
              </w:rPr>
              <w:t>2.0</w:t>
            </w:r>
          </w:p>
        </w:tc>
        <w:tc>
          <w:tcPr>
            <w:tcW w:w="236" w:type="dxa"/>
            <w:shd w:val="clear" w:color="auto" w:fill="auto"/>
          </w:tcPr>
          <w:p w14:paraId="7604C194" w14:textId="77777777" w:rsidR="004544FE" w:rsidRPr="00D2438D" w:rsidRDefault="004544FE" w:rsidP="00F927D5">
            <w:pPr>
              <w:jc w:val="center"/>
              <w:rPr>
                <w:sz w:val="18"/>
                <w:szCs w:val="18"/>
                <w:lang w:eastAsia="de-DE"/>
              </w:rPr>
            </w:pPr>
          </w:p>
        </w:tc>
        <w:tc>
          <w:tcPr>
            <w:tcW w:w="1191" w:type="dxa"/>
            <w:tcBorders>
              <w:top w:val="single" w:sz="4" w:space="0" w:color="auto"/>
              <w:bottom w:val="single" w:sz="4" w:space="0" w:color="auto"/>
            </w:tcBorders>
          </w:tcPr>
          <w:p w14:paraId="2F83395C" w14:textId="77777777" w:rsidR="004544FE" w:rsidRPr="00D2438D" w:rsidRDefault="004544FE" w:rsidP="00F927D5">
            <w:pPr>
              <w:jc w:val="center"/>
              <w:rPr>
                <w:sz w:val="18"/>
                <w:szCs w:val="18"/>
              </w:rPr>
            </w:pPr>
            <w:r w:rsidRPr="00D2438D">
              <w:rPr>
                <w:sz w:val="18"/>
                <w:szCs w:val="18"/>
              </w:rPr>
              <w:t>30</w:t>
            </w:r>
          </w:p>
        </w:tc>
        <w:tc>
          <w:tcPr>
            <w:tcW w:w="236" w:type="dxa"/>
          </w:tcPr>
          <w:p w14:paraId="583C5C28" w14:textId="77777777" w:rsidR="004544FE" w:rsidRPr="00D2438D" w:rsidRDefault="004544FE" w:rsidP="00F927D5">
            <w:pPr>
              <w:jc w:val="center"/>
              <w:rPr>
                <w:sz w:val="18"/>
                <w:szCs w:val="18"/>
              </w:rPr>
            </w:pPr>
          </w:p>
        </w:tc>
        <w:tc>
          <w:tcPr>
            <w:tcW w:w="1134" w:type="dxa"/>
            <w:tcBorders>
              <w:top w:val="single" w:sz="4" w:space="0" w:color="auto"/>
              <w:bottom w:val="single" w:sz="4" w:space="0" w:color="auto"/>
            </w:tcBorders>
            <w:shd w:val="clear" w:color="auto" w:fill="auto"/>
            <w:vAlign w:val="center"/>
          </w:tcPr>
          <w:p w14:paraId="1EA84D4A" w14:textId="77777777" w:rsidR="004544FE" w:rsidRPr="00D2438D" w:rsidRDefault="004544FE" w:rsidP="00F927D5">
            <w:pPr>
              <w:jc w:val="center"/>
              <w:rPr>
                <w:sz w:val="18"/>
                <w:szCs w:val="18"/>
              </w:rPr>
            </w:pPr>
            <w:r w:rsidRPr="00D2438D">
              <w:rPr>
                <w:sz w:val="18"/>
                <w:szCs w:val="18"/>
              </w:rPr>
              <w:t>118</w:t>
            </w:r>
          </w:p>
        </w:tc>
        <w:tc>
          <w:tcPr>
            <w:tcW w:w="236" w:type="dxa"/>
            <w:shd w:val="clear" w:color="auto" w:fill="auto"/>
            <w:vAlign w:val="center"/>
          </w:tcPr>
          <w:p w14:paraId="39A9D2CB" w14:textId="77777777" w:rsidR="004544FE" w:rsidRPr="00D2438D" w:rsidRDefault="004544FE" w:rsidP="00F927D5">
            <w:pPr>
              <w:rPr>
                <w:sz w:val="18"/>
                <w:szCs w:val="18"/>
              </w:rPr>
            </w:pPr>
          </w:p>
        </w:tc>
        <w:tc>
          <w:tcPr>
            <w:tcW w:w="1716" w:type="dxa"/>
            <w:tcBorders>
              <w:top w:val="single" w:sz="4" w:space="0" w:color="auto"/>
              <w:bottom w:val="single" w:sz="4" w:space="0" w:color="auto"/>
            </w:tcBorders>
            <w:shd w:val="clear" w:color="auto" w:fill="auto"/>
            <w:vAlign w:val="center"/>
          </w:tcPr>
          <w:p w14:paraId="43089774" w14:textId="77777777" w:rsidR="004544FE" w:rsidRPr="00D2438D" w:rsidRDefault="004544FE" w:rsidP="00F927D5">
            <w:pPr>
              <w:jc w:val="center"/>
              <w:rPr>
                <w:sz w:val="18"/>
                <w:szCs w:val="18"/>
              </w:rPr>
            </w:pPr>
            <w:r w:rsidRPr="00D2438D">
              <w:rPr>
                <w:sz w:val="18"/>
                <w:szCs w:val="18"/>
              </w:rPr>
              <w:t>Etendue</w:t>
            </w:r>
          </w:p>
        </w:tc>
      </w:tr>
      <w:tr w:rsidR="004544FE" w:rsidRPr="00D2438D" w14:paraId="75C4C34B" w14:textId="77777777" w:rsidTr="00F927D5">
        <w:tc>
          <w:tcPr>
            <w:tcW w:w="2041" w:type="dxa"/>
            <w:tcBorders>
              <w:top w:val="single" w:sz="4" w:space="0" w:color="auto"/>
              <w:bottom w:val="single" w:sz="4" w:space="0" w:color="auto"/>
            </w:tcBorders>
            <w:shd w:val="clear" w:color="auto" w:fill="auto"/>
            <w:vAlign w:val="center"/>
          </w:tcPr>
          <w:p w14:paraId="135A762C" w14:textId="77777777" w:rsidR="004544FE" w:rsidRPr="00D2438D" w:rsidRDefault="004544FE" w:rsidP="00F927D5">
            <w:pPr>
              <w:rPr>
                <w:sz w:val="18"/>
                <w:szCs w:val="18"/>
                <w:lang w:eastAsia="de-DE"/>
              </w:rPr>
            </w:pPr>
            <w:r w:rsidRPr="00D2438D">
              <w:rPr>
                <w:sz w:val="18"/>
                <w:szCs w:val="18"/>
                <w:lang w:eastAsia="de-DE"/>
              </w:rPr>
              <w:t>Intel Xeon D-2775TE</w:t>
            </w:r>
          </w:p>
        </w:tc>
        <w:tc>
          <w:tcPr>
            <w:tcW w:w="283" w:type="dxa"/>
            <w:shd w:val="clear" w:color="auto" w:fill="auto"/>
            <w:vAlign w:val="center"/>
          </w:tcPr>
          <w:p w14:paraId="10741ED3" w14:textId="77777777" w:rsidR="004544FE" w:rsidRPr="00D2438D" w:rsidRDefault="004544FE" w:rsidP="00F927D5">
            <w:pPr>
              <w:rPr>
                <w:sz w:val="18"/>
                <w:szCs w:val="18"/>
              </w:rPr>
            </w:pPr>
          </w:p>
        </w:tc>
        <w:tc>
          <w:tcPr>
            <w:tcW w:w="964" w:type="dxa"/>
            <w:tcBorders>
              <w:top w:val="single" w:sz="4" w:space="0" w:color="auto"/>
              <w:bottom w:val="single" w:sz="4" w:space="0" w:color="auto"/>
            </w:tcBorders>
            <w:shd w:val="clear" w:color="auto" w:fill="auto"/>
            <w:vAlign w:val="center"/>
          </w:tcPr>
          <w:p w14:paraId="51CF37E7" w14:textId="77777777" w:rsidR="004544FE" w:rsidRPr="00D2438D" w:rsidRDefault="004544FE" w:rsidP="00F927D5">
            <w:pPr>
              <w:jc w:val="center"/>
              <w:rPr>
                <w:sz w:val="18"/>
                <w:szCs w:val="18"/>
                <w:lang w:eastAsia="de-DE"/>
              </w:rPr>
            </w:pPr>
            <w:r w:rsidRPr="00D2438D">
              <w:rPr>
                <w:sz w:val="18"/>
                <w:szCs w:val="18"/>
                <w:lang w:eastAsia="de-DE"/>
              </w:rPr>
              <w:t>16 / 32</w:t>
            </w:r>
          </w:p>
        </w:tc>
        <w:tc>
          <w:tcPr>
            <w:tcW w:w="236" w:type="dxa"/>
            <w:shd w:val="clear" w:color="auto" w:fill="auto"/>
            <w:vAlign w:val="center"/>
          </w:tcPr>
          <w:p w14:paraId="15A07C0D" w14:textId="77777777" w:rsidR="004544FE" w:rsidRPr="00D2438D" w:rsidRDefault="004544FE" w:rsidP="00F927D5">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48C3BE1D" w14:textId="77777777" w:rsidR="004544FE" w:rsidRPr="00D2438D" w:rsidRDefault="004544FE" w:rsidP="00F927D5">
            <w:pPr>
              <w:jc w:val="center"/>
              <w:rPr>
                <w:sz w:val="18"/>
                <w:szCs w:val="18"/>
                <w:lang w:eastAsia="de-DE"/>
              </w:rPr>
            </w:pPr>
            <w:r w:rsidRPr="00D2438D">
              <w:rPr>
                <w:sz w:val="18"/>
                <w:szCs w:val="18"/>
                <w:lang w:eastAsia="de-DE"/>
              </w:rPr>
              <w:t>2.0</w:t>
            </w:r>
          </w:p>
        </w:tc>
        <w:tc>
          <w:tcPr>
            <w:tcW w:w="236" w:type="dxa"/>
            <w:shd w:val="clear" w:color="auto" w:fill="auto"/>
          </w:tcPr>
          <w:p w14:paraId="18612BA4" w14:textId="77777777" w:rsidR="004544FE" w:rsidRPr="00D2438D" w:rsidRDefault="004544FE" w:rsidP="00F927D5">
            <w:pPr>
              <w:jc w:val="center"/>
              <w:rPr>
                <w:sz w:val="18"/>
                <w:szCs w:val="18"/>
                <w:lang w:eastAsia="de-DE"/>
              </w:rPr>
            </w:pPr>
          </w:p>
        </w:tc>
        <w:tc>
          <w:tcPr>
            <w:tcW w:w="1191" w:type="dxa"/>
            <w:tcBorders>
              <w:top w:val="single" w:sz="4" w:space="0" w:color="auto"/>
              <w:bottom w:val="single" w:sz="4" w:space="0" w:color="auto"/>
            </w:tcBorders>
          </w:tcPr>
          <w:p w14:paraId="62D3E288" w14:textId="77777777" w:rsidR="004544FE" w:rsidRPr="00D2438D" w:rsidRDefault="004544FE" w:rsidP="00F927D5">
            <w:pPr>
              <w:jc w:val="center"/>
              <w:rPr>
                <w:sz w:val="18"/>
                <w:szCs w:val="18"/>
              </w:rPr>
            </w:pPr>
            <w:r w:rsidRPr="00D2438D">
              <w:rPr>
                <w:sz w:val="18"/>
                <w:szCs w:val="18"/>
              </w:rPr>
              <w:t>25</w:t>
            </w:r>
          </w:p>
        </w:tc>
        <w:tc>
          <w:tcPr>
            <w:tcW w:w="236" w:type="dxa"/>
          </w:tcPr>
          <w:p w14:paraId="75A65ED5" w14:textId="77777777" w:rsidR="004544FE" w:rsidRPr="00D2438D" w:rsidRDefault="004544FE" w:rsidP="00F927D5">
            <w:pPr>
              <w:jc w:val="center"/>
              <w:rPr>
                <w:sz w:val="18"/>
                <w:szCs w:val="18"/>
              </w:rPr>
            </w:pPr>
          </w:p>
        </w:tc>
        <w:tc>
          <w:tcPr>
            <w:tcW w:w="1134" w:type="dxa"/>
            <w:tcBorders>
              <w:top w:val="single" w:sz="4" w:space="0" w:color="auto"/>
              <w:bottom w:val="single" w:sz="4" w:space="0" w:color="auto"/>
            </w:tcBorders>
            <w:shd w:val="clear" w:color="auto" w:fill="auto"/>
            <w:vAlign w:val="center"/>
          </w:tcPr>
          <w:p w14:paraId="0A911302" w14:textId="77777777" w:rsidR="004544FE" w:rsidRPr="00D2438D" w:rsidRDefault="004544FE" w:rsidP="00F927D5">
            <w:pPr>
              <w:jc w:val="center"/>
              <w:rPr>
                <w:sz w:val="18"/>
                <w:szCs w:val="18"/>
              </w:rPr>
            </w:pPr>
            <w:r w:rsidRPr="00D2438D">
              <w:rPr>
                <w:sz w:val="18"/>
                <w:szCs w:val="18"/>
              </w:rPr>
              <w:t>100</w:t>
            </w:r>
          </w:p>
        </w:tc>
        <w:tc>
          <w:tcPr>
            <w:tcW w:w="236" w:type="dxa"/>
            <w:shd w:val="clear" w:color="auto" w:fill="auto"/>
            <w:vAlign w:val="center"/>
          </w:tcPr>
          <w:p w14:paraId="7A92F07D" w14:textId="77777777" w:rsidR="004544FE" w:rsidRPr="00D2438D" w:rsidRDefault="004544FE" w:rsidP="00F927D5">
            <w:pPr>
              <w:rPr>
                <w:sz w:val="18"/>
                <w:szCs w:val="18"/>
              </w:rPr>
            </w:pPr>
          </w:p>
        </w:tc>
        <w:tc>
          <w:tcPr>
            <w:tcW w:w="1716" w:type="dxa"/>
            <w:tcBorders>
              <w:top w:val="single" w:sz="4" w:space="0" w:color="auto"/>
              <w:bottom w:val="single" w:sz="4" w:space="0" w:color="auto"/>
            </w:tcBorders>
            <w:shd w:val="clear" w:color="auto" w:fill="auto"/>
            <w:vAlign w:val="center"/>
          </w:tcPr>
          <w:p w14:paraId="7220F786" w14:textId="77777777" w:rsidR="004544FE" w:rsidRPr="00D2438D" w:rsidRDefault="004544FE" w:rsidP="00F927D5">
            <w:pPr>
              <w:ind w:right="29"/>
              <w:jc w:val="center"/>
              <w:rPr>
                <w:sz w:val="18"/>
                <w:szCs w:val="18"/>
              </w:rPr>
            </w:pPr>
            <w:r w:rsidRPr="00D2438D">
              <w:rPr>
                <w:sz w:val="18"/>
                <w:szCs w:val="18"/>
              </w:rPr>
              <w:t>Etendue</w:t>
            </w:r>
          </w:p>
        </w:tc>
      </w:tr>
      <w:tr w:rsidR="004544FE" w:rsidRPr="00D2438D" w14:paraId="5926501A" w14:textId="77777777" w:rsidTr="00F927D5">
        <w:tc>
          <w:tcPr>
            <w:tcW w:w="2041" w:type="dxa"/>
            <w:tcBorders>
              <w:top w:val="single" w:sz="4" w:space="0" w:color="auto"/>
              <w:bottom w:val="single" w:sz="4" w:space="0" w:color="auto"/>
            </w:tcBorders>
            <w:shd w:val="clear" w:color="auto" w:fill="auto"/>
            <w:vAlign w:val="center"/>
          </w:tcPr>
          <w:p w14:paraId="1884F894" w14:textId="77777777" w:rsidR="004544FE" w:rsidRPr="00D2438D" w:rsidRDefault="004544FE" w:rsidP="00F927D5">
            <w:pPr>
              <w:rPr>
                <w:sz w:val="18"/>
                <w:szCs w:val="18"/>
                <w:lang w:eastAsia="de-DE"/>
              </w:rPr>
            </w:pPr>
            <w:r w:rsidRPr="00D2438D">
              <w:rPr>
                <w:sz w:val="18"/>
                <w:szCs w:val="18"/>
                <w:lang w:eastAsia="de-DE"/>
              </w:rPr>
              <w:t>Intel Xeon D-2752TER</w:t>
            </w:r>
          </w:p>
        </w:tc>
        <w:tc>
          <w:tcPr>
            <w:tcW w:w="283" w:type="dxa"/>
            <w:shd w:val="clear" w:color="auto" w:fill="auto"/>
            <w:vAlign w:val="center"/>
          </w:tcPr>
          <w:p w14:paraId="404101A2" w14:textId="77777777" w:rsidR="004544FE" w:rsidRPr="00D2438D" w:rsidRDefault="004544FE" w:rsidP="00F927D5">
            <w:pPr>
              <w:rPr>
                <w:sz w:val="18"/>
                <w:szCs w:val="18"/>
              </w:rPr>
            </w:pPr>
          </w:p>
        </w:tc>
        <w:tc>
          <w:tcPr>
            <w:tcW w:w="964" w:type="dxa"/>
            <w:tcBorders>
              <w:top w:val="single" w:sz="4" w:space="0" w:color="auto"/>
              <w:bottom w:val="single" w:sz="4" w:space="0" w:color="auto"/>
            </w:tcBorders>
            <w:shd w:val="clear" w:color="auto" w:fill="auto"/>
            <w:vAlign w:val="center"/>
          </w:tcPr>
          <w:p w14:paraId="18E882B7" w14:textId="77777777" w:rsidR="004544FE" w:rsidRPr="00D2438D" w:rsidRDefault="004544FE" w:rsidP="00F927D5">
            <w:pPr>
              <w:jc w:val="center"/>
              <w:rPr>
                <w:sz w:val="18"/>
                <w:szCs w:val="18"/>
                <w:lang w:eastAsia="de-DE"/>
              </w:rPr>
            </w:pPr>
            <w:r w:rsidRPr="00D2438D">
              <w:rPr>
                <w:sz w:val="18"/>
                <w:szCs w:val="18"/>
                <w:lang w:eastAsia="de-DE"/>
              </w:rPr>
              <w:t>12 / 24</w:t>
            </w:r>
          </w:p>
        </w:tc>
        <w:tc>
          <w:tcPr>
            <w:tcW w:w="236" w:type="dxa"/>
            <w:shd w:val="clear" w:color="auto" w:fill="auto"/>
            <w:vAlign w:val="center"/>
          </w:tcPr>
          <w:p w14:paraId="2AEB584F" w14:textId="77777777" w:rsidR="004544FE" w:rsidRPr="00D2438D" w:rsidRDefault="004544FE" w:rsidP="00F927D5">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21A7A086" w14:textId="77777777" w:rsidR="004544FE" w:rsidRPr="00D2438D" w:rsidRDefault="004544FE" w:rsidP="00F927D5">
            <w:pPr>
              <w:jc w:val="center"/>
              <w:rPr>
                <w:sz w:val="18"/>
                <w:szCs w:val="18"/>
                <w:lang w:eastAsia="de-DE"/>
              </w:rPr>
            </w:pPr>
            <w:r w:rsidRPr="00D2438D">
              <w:rPr>
                <w:sz w:val="18"/>
                <w:szCs w:val="18"/>
                <w:lang w:eastAsia="de-DE"/>
              </w:rPr>
              <w:t>1.8</w:t>
            </w:r>
          </w:p>
        </w:tc>
        <w:tc>
          <w:tcPr>
            <w:tcW w:w="236" w:type="dxa"/>
            <w:shd w:val="clear" w:color="auto" w:fill="auto"/>
          </w:tcPr>
          <w:p w14:paraId="36C5F5A5" w14:textId="77777777" w:rsidR="004544FE" w:rsidRPr="00D2438D" w:rsidRDefault="004544FE" w:rsidP="00F927D5">
            <w:pPr>
              <w:jc w:val="center"/>
              <w:rPr>
                <w:sz w:val="18"/>
                <w:szCs w:val="18"/>
                <w:lang w:eastAsia="de-DE"/>
              </w:rPr>
            </w:pPr>
          </w:p>
        </w:tc>
        <w:tc>
          <w:tcPr>
            <w:tcW w:w="1191" w:type="dxa"/>
            <w:tcBorders>
              <w:top w:val="single" w:sz="4" w:space="0" w:color="auto"/>
              <w:bottom w:val="single" w:sz="4" w:space="0" w:color="auto"/>
            </w:tcBorders>
          </w:tcPr>
          <w:p w14:paraId="636D80EC" w14:textId="77777777" w:rsidR="004544FE" w:rsidRPr="00D2438D" w:rsidRDefault="004544FE" w:rsidP="00F927D5">
            <w:pPr>
              <w:jc w:val="center"/>
              <w:rPr>
                <w:sz w:val="18"/>
                <w:szCs w:val="18"/>
              </w:rPr>
            </w:pPr>
            <w:r w:rsidRPr="00D2438D">
              <w:rPr>
                <w:sz w:val="18"/>
                <w:szCs w:val="18"/>
              </w:rPr>
              <w:t>20</w:t>
            </w:r>
          </w:p>
        </w:tc>
        <w:tc>
          <w:tcPr>
            <w:tcW w:w="236" w:type="dxa"/>
          </w:tcPr>
          <w:p w14:paraId="7AF7D099" w14:textId="77777777" w:rsidR="004544FE" w:rsidRPr="00D2438D" w:rsidRDefault="004544FE" w:rsidP="00F927D5">
            <w:pPr>
              <w:jc w:val="center"/>
              <w:rPr>
                <w:sz w:val="18"/>
                <w:szCs w:val="18"/>
              </w:rPr>
            </w:pPr>
          </w:p>
        </w:tc>
        <w:tc>
          <w:tcPr>
            <w:tcW w:w="1134" w:type="dxa"/>
            <w:tcBorders>
              <w:top w:val="single" w:sz="4" w:space="0" w:color="auto"/>
              <w:bottom w:val="single" w:sz="4" w:space="0" w:color="auto"/>
            </w:tcBorders>
            <w:shd w:val="clear" w:color="auto" w:fill="auto"/>
            <w:vAlign w:val="center"/>
          </w:tcPr>
          <w:p w14:paraId="100A68E2" w14:textId="77777777" w:rsidR="004544FE" w:rsidRPr="00D2438D" w:rsidRDefault="004544FE" w:rsidP="00F927D5">
            <w:pPr>
              <w:jc w:val="center"/>
              <w:rPr>
                <w:sz w:val="18"/>
                <w:szCs w:val="18"/>
              </w:rPr>
            </w:pPr>
            <w:r w:rsidRPr="00D2438D">
              <w:rPr>
                <w:sz w:val="18"/>
                <w:szCs w:val="18"/>
              </w:rPr>
              <w:t>77</w:t>
            </w:r>
          </w:p>
        </w:tc>
        <w:tc>
          <w:tcPr>
            <w:tcW w:w="236" w:type="dxa"/>
            <w:shd w:val="clear" w:color="auto" w:fill="auto"/>
            <w:vAlign w:val="center"/>
          </w:tcPr>
          <w:p w14:paraId="7A665DC5" w14:textId="77777777" w:rsidR="004544FE" w:rsidRPr="00D2438D" w:rsidRDefault="004544FE" w:rsidP="00F927D5">
            <w:pPr>
              <w:rPr>
                <w:sz w:val="18"/>
                <w:szCs w:val="18"/>
              </w:rPr>
            </w:pPr>
          </w:p>
        </w:tc>
        <w:tc>
          <w:tcPr>
            <w:tcW w:w="1716" w:type="dxa"/>
            <w:tcBorders>
              <w:top w:val="single" w:sz="4" w:space="0" w:color="auto"/>
              <w:bottom w:val="single" w:sz="4" w:space="0" w:color="auto"/>
            </w:tcBorders>
            <w:shd w:val="clear" w:color="auto" w:fill="auto"/>
            <w:vAlign w:val="center"/>
          </w:tcPr>
          <w:p w14:paraId="44284D32" w14:textId="77777777" w:rsidR="004544FE" w:rsidRPr="00D2438D" w:rsidRDefault="004544FE" w:rsidP="00F927D5">
            <w:pPr>
              <w:ind w:right="29"/>
              <w:jc w:val="center"/>
              <w:rPr>
                <w:sz w:val="18"/>
                <w:szCs w:val="18"/>
              </w:rPr>
            </w:pPr>
            <w:r w:rsidRPr="00D2438D">
              <w:rPr>
                <w:sz w:val="18"/>
                <w:szCs w:val="18"/>
              </w:rPr>
              <w:t>Etendue</w:t>
            </w:r>
          </w:p>
        </w:tc>
      </w:tr>
      <w:tr w:rsidR="004544FE" w:rsidRPr="00D2438D" w14:paraId="7247DA5E" w14:textId="77777777" w:rsidTr="00F927D5">
        <w:tc>
          <w:tcPr>
            <w:tcW w:w="2041" w:type="dxa"/>
            <w:tcBorders>
              <w:top w:val="single" w:sz="4" w:space="0" w:color="auto"/>
              <w:bottom w:val="single" w:sz="4" w:space="0" w:color="auto"/>
            </w:tcBorders>
            <w:shd w:val="clear" w:color="auto" w:fill="auto"/>
            <w:vAlign w:val="center"/>
          </w:tcPr>
          <w:p w14:paraId="2DDBE697" w14:textId="77777777" w:rsidR="004544FE" w:rsidRPr="00D2438D" w:rsidRDefault="004544FE" w:rsidP="00F927D5">
            <w:pPr>
              <w:rPr>
                <w:sz w:val="18"/>
                <w:szCs w:val="18"/>
                <w:lang w:eastAsia="de-DE"/>
              </w:rPr>
            </w:pPr>
            <w:r w:rsidRPr="00D2438D">
              <w:rPr>
                <w:sz w:val="18"/>
                <w:szCs w:val="18"/>
                <w:lang w:eastAsia="de-DE"/>
              </w:rPr>
              <w:t>Intel Xeon D-2733NT</w:t>
            </w:r>
          </w:p>
        </w:tc>
        <w:tc>
          <w:tcPr>
            <w:tcW w:w="283" w:type="dxa"/>
            <w:shd w:val="clear" w:color="auto" w:fill="auto"/>
            <w:vAlign w:val="center"/>
          </w:tcPr>
          <w:p w14:paraId="6829ECF8" w14:textId="77777777" w:rsidR="004544FE" w:rsidRPr="00D2438D" w:rsidRDefault="004544FE" w:rsidP="00F927D5">
            <w:pPr>
              <w:rPr>
                <w:sz w:val="18"/>
                <w:szCs w:val="18"/>
              </w:rPr>
            </w:pPr>
          </w:p>
        </w:tc>
        <w:tc>
          <w:tcPr>
            <w:tcW w:w="964" w:type="dxa"/>
            <w:tcBorders>
              <w:top w:val="single" w:sz="4" w:space="0" w:color="auto"/>
              <w:bottom w:val="single" w:sz="4" w:space="0" w:color="auto"/>
            </w:tcBorders>
            <w:shd w:val="clear" w:color="auto" w:fill="auto"/>
            <w:vAlign w:val="center"/>
          </w:tcPr>
          <w:p w14:paraId="2B74D630" w14:textId="77777777" w:rsidR="004544FE" w:rsidRPr="00D2438D" w:rsidRDefault="004544FE" w:rsidP="00F927D5">
            <w:pPr>
              <w:jc w:val="center"/>
              <w:rPr>
                <w:sz w:val="18"/>
                <w:szCs w:val="18"/>
                <w:lang w:eastAsia="de-DE"/>
              </w:rPr>
            </w:pPr>
            <w:r w:rsidRPr="00D2438D">
              <w:rPr>
                <w:sz w:val="18"/>
                <w:szCs w:val="18"/>
                <w:lang w:eastAsia="de-DE"/>
              </w:rPr>
              <w:t>8 / 16</w:t>
            </w:r>
          </w:p>
        </w:tc>
        <w:tc>
          <w:tcPr>
            <w:tcW w:w="236" w:type="dxa"/>
            <w:shd w:val="clear" w:color="auto" w:fill="auto"/>
            <w:vAlign w:val="center"/>
          </w:tcPr>
          <w:p w14:paraId="3C49BF16" w14:textId="77777777" w:rsidR="004544FE" w:rsidRPr="00D2438D" w:rsidRDefault="004544FE" w:rsidP="00F927D5">
            <w:pPr>
              <w:jc w:val="center"/>
              <w:rPr>
                <w:sz w:val="18"/>
                <w:szCs w:val="18"/>
                <w:lang w:eastAsia="de-DE"/>
              </w:rPr>
            </w:pPr>
          </w:p>
        </w:tc>
        <w:tc>
          <w:tcPr>
            <w:tcW w:w="907" w:type="dxa"/>
            <w:tcBorders>
              <w:top w:val="single" w:sz="4" w:space="0" w:color="auto"/>
              <w:bottom w:val="single" w:sz="4" w:space="0" w:color="auto"/>
            </w:tcBorders>
            <w:shd w:val="clear" w:color="auto" w:fill="auto"/>
            <w:vAlign w:val="center"/>
          </w:tcPr>
          <w:p w14:paraId="74348C0D" w14:textId="77777777" w:rsidR="004544FE" w:rsidRPr="00D2438D" w:rsidRDefault="004544FE" w:rsidP="00F927D5">
            <w:pPr>
              <w:jc w:val="center"/>
              <w:rPr>
                <w:sz w:val="18"/>
                <w:szCs w:val="18"/>
                <w:lang w:eastAsia="de-DE"/>
              </w:rPr>
            </w:pPr>
            <w:r w:rsidRPr="00D2438D">
              <w:rPr>
                <w:sz w:val="18"/>
                <w:szCs w:val="18"/>
                <w:lang w:eastAsia="de-DE"/>
              </w:rPr>
              <w:t>2.1</w:t>
            </w:r>
          </w:p>
        </w:tc>
        <w:tc>
          <w:tcPr>
            <w:tcW w:w="236" w:type="dxa"/>
            <w:shd w:val="clear" w:color="auto" w:fill="auto"/>
          </w:tcPr>
          <w:p w14:paraId="1EEDBF7E" w14:textId="77777777" w:rsidR="004544FE" w:rsidRPr="00D2438D" w:rsidRDefault="004544FE" w:rsidP="00F927D5">
            <w:pPr>
              <w:jc w:val="center"/>
              <w:rPr>
                <w:sz w:val="18"/>
                <w:szCs w:val="18"/>
                <w:lang w:eastAsia="de-DE"/>
              </w:rPr>
            </w:pPr>
          </w:p>
        </w:tc>
        <w:tc>
          <w:tcPr>
            <w:tcW w:w="1191" w:type="dxa"/>
            <w:tcBorders>
              <w:top w:val="single" w:sz="4" w:space="0" w:color="auto"/>
              <w:bottom w:val="single" w:sz="4" w:space="0" w:color="auto"/>
            </w:tcBorders>
          </w:tcPr>
          <w:p w14:paraId="21D8067D" w14:textId="77777777" w:rsidR="004544FE" w:rsidRPr="00D2438D" w:rsidRDefault="004544FE" w:rsidP="00F927D5">
            <w:pPr>
              <w:jc w:val="center"/>
              <w:rPr>
                <w:sz w:val="18"/>
                <w:szCs w:val="18"/>
              </w:rPr>
            </w:pPr>
            <w:r w:rsidRPr="00D2438D">
              <w:rPr>
                <w:sz w:val="18"/>
                <w:szCs w:val="18"/>
              </w:rPr>
              <w:t>15</w:t>
            </w:r>
          </w:p>
        </w:tc>
        <w:tc>
          <w:tcPr>
            <w:tcW w:w="236" w:type="dxa"/>
          </w:tcPr>
          <w:p w14:paraId="777DA859" w14:textId="77777777" w:rsidR="004544FE" w:rsidRPr="00D2438D" w:rsidRDefault="004544FE" w:rsidP="00F927D5">
            <w:pPr>
              <w:jc w:val="center"/>
              <w:rPr>
                <w:sz w:val="18"/>
                <w:szCs w:val="18"/>
              </w:rPr>
            </w:pPr>
          </w:p>
        </w:tc>
        <w:tc>
          <w:tcPr>
            <w:tcW w:w="1134" w:type="dxa"/>
            <w:tcBorders>
              <w:top w:val="single" w:sz="4" w:space="0" w:color="auto"/>
              <w:bottom w:val="single" w:sz="4" w:space="0" w:color="auto"/>
            </w:tcBorders>
            <w:shd w:val="clear" w:color="auto" w:fill="auto"/>
            <w:vAlign w:val="center"/>
          </w:tcPr>
          <w:p w14:paraId="2AB04E5A" w14:textId="77777777" w:rsidR="004544FE" w:rsidRPr="00D2438D" w:rsidRDefault="004544FE" w:rsidP="00F927D5">
            <w:pPr>
              <w:jc w:val="center"/>
              <w:rPr>
                <w:sz w:val="18"/>
                <w:szCs w:val="18"/>
              </w:rPr>
            </w:pPr>
            <w:r w:rsidRPr="00D2438D">
              <w:rPr>
                <w:sz w:val="18"/>
                <w:szCs w:val="18"/>
              </w:rPr>
              <w:t>80</w:t>
            </w:r>
          </w:p>
        </w:tc>
        <w:tc>
          <w:tcPr>
            <w:tcW w:w="236" w:type="dxa"/>
            <w:shd w:val="clear" w:color="auto" w:fill="auto"/>
            <w:vAlign w:val="center"/>
          </w:tcPr>
          <w:p w14:paraId="48BA9B73" w14:textId="77777777" w:rsidR="004544FE" w:rsidRPr="00D2438D" w:rsidRDefault="004544FE" w:rsidP="00F927D5">
            <w:pPr>
              <w:rPr>
                <w:sz w:val="18"/>
                <w:szCs w:val="18"/>
              </w:rPr>
            </w:pPr>
          </w:p>
        </w:tc>
        <w:tc>
          <w:tcPr>
            <w:tcW w:w="1716" w:type="dxa"/>
            <w:tcBorders>
              <w:top w:val="single" w:sz="4" w:space="0" w:color="auto"/>
              <w:bottom w:val="single" w:sz="4" w:space="0" w:color="auto"/>
            </w:tcBorders>
            <w:shd w:val="clear" w:color="auto" w:fill="auto"/>
            <w:vAlign w:val="center"/>
          </w:tcPr>
          <w:p w14:paraId="39EA72EE" w14:textId="77777777" w:rsidR="004544FE" w:rsidRPr="00D2438D" w:rsidRDefault="004544FE" w:rsidP="00F927D5">
            <w:pPr>
              <w:ind w:right="29"/>
              <w:jc w:val="center"/>
              <w:rPr>
                <w:sz w:val="18"/>
                <w:szCs w:val="18"/>
              </w:rPr>
            </w:pPr>
            <w:r w:rsidRPr="00D2438D">
              <w:rPr>
                <w:sz w:val="18"/>
                <w:szCs w:val="18"/>
              </w:rPr>
              <w:t>Commerciale</w:t>
            </w:r>
          </w:p>
        </w:tc>
      </w:tr>
      <w:tr w:rsidR="004544FE" w:rsidRPr="00D2438D" w14:paraId="315A8161" w14:textId="77777777" w:rsidTr="00F927D5">
        <w:tc>
          <w:tcPr>
            <w:tcW w:w="2041" w:type="dxa"/>
            <w:tcBorders>
              <w:top w:val="single" w:sz="4" w:space="0" w:color="auto"/>
            </w:tcBorders>
            <w:shd w:val="clear" w:color="auto" w:fill="auto"/>
            <w:vAlign w:val="center"/>
          </w:tcPr>
          <w:p w14:paraId="4991340B" w14:textId="77777777" w:rsidR="004544FE" w:rsidRPr="00D2438D" w:rsidRDefault="004544FE" w:rsidP="00F927D5">
            <w:pPr>
              <w:rPr>
                <w:sz w:val="18"/>
                <w:szCs w:val="18"/>
                <w:lang w:eastAsia="de-DE"/>
              </w:rPr>
            </w:pPr>
            <w:r w:rsidRPr="00D2438D">
              <w:rPr>
                <w:sz w:val="18"/>
                <w:szCs w:val="18"/>
                <w:lang w:eastAsia="de-DE"/>
              </w:rPr>
              <w:t>Intel Xeon D-2712T</w:t>
            </w:r>
          </w:p>
        </w:tc>
        <w:tc>
          <w:tcPr>
            <w:tcW w:w="283" w:type="dxa"/>
            <w:shd w:val="clear" w:color="auto" w:fill="auto"/>
            <w:vAlign w:val="center"/>
          </w:tcPr>
          <w:p w14:paraId="6286796A" w14:textId="77777777" w:rsidR="004544FE" w:rsidRPr="00D2438D" w:rsidRDefault="004544FE" w:rsidP="00F927D5">
            <w:pPr>
              <w:rPr>
                <w:sz w:val="18"/>
                <w:szCs w:val="18"/>
              </w:rPr>
            </w:pPr>
          </w:p>
        </w:tc>
        <w:tc>
          <w:tcPr>
            <w:tcW w:w="964" w:type="dxa"/>
            <w:tcBorders>
              <w:top w:val="single" w:sz="4" w:space="0" w:color="auto"/>
            </w:tcBorders>
            <w:shd w:val="clear" w:color="auto" w:fill="auto"/>
            <w:vAlign w:val="center"/>
          </w:tcPr>
          <w:p w14:paraId="5BECB52B" w14:textId="77777777" w:rsidR="004544FE" w:rsidRPr="00D2438D" w:rsidRDefault="004544FE" w:rsidP="00F927D5">
            <w:pPr>
              <w:jc w:val="center"/>
              <w:rPr>
                <w:sz w:val="18"/>
                <w:szCs w:val="18"/>
                <w:lang w:eastAsia="de-DE"/>
              </w:rPr>
            </w:pPr>
            <w:r w:rsidRPr="00D2438D">
              <w:rPr>
                <w:sz w:val="18"/>
                <w:szCs w:val="18"/>
                <w:lang w:eastAsia="de-DE"/>
              </w:rPr>
              <w:t>4 / 8</w:t>
            </w:r>
          </w:p>
        </w:tc>
        <w:tc>
          <w:tcPr>
            <w:tcW w:w="236" w:type="dxa"/>
            <w:shd w:val="clear" w:color="auto" w:fill="auto"/>
            <w:vAlign w:val="center"/>
          </w:tcPr>
          <w:p w14:paraId="22EF0E69" w14:textId="77777777" w:rsidR="004544FE" w:rsidRPr="00D2438D" w:rsidRDefault="004544FE" w:rsidP="00F927D5">
            <w:pPr>
              <w:jc w:val="center"/>
              <w:rPr>
                <w:sz w:val="18"/>
                <w:szCs w:val="18"/>
                <w:lang w:eastAsia="de-DE"/>
              </w:rPr>
            </w:pPr>
          </w:p>
        </w:tc>
        <w:tc>
          <w:tcPr>
            <w:tcW w:w="907" w:type="dxa"/>
            <w:tcBorders>
              <w:top w:val="single" w:sz="4" w:space="0" w:color="auto"/>
            </w:tcBorders>
            <w:shd w:val="clear" w:color="auto" w:fill="auto"/>
            <w:vAlign w:val="center"/>
          </w:tcPr>
          <w:p w14:paraId="4808992D" w14:textId="77777777" w:rsidR="004544FE" w:rsidRPr="00D2438D" w:rsidRDefault="004544FE" w:rsidP="00F927D5">
            <w:pPr>
              <w:jc w:val="center"/>
              <w:rPr>
                <w:sz w:val="18"/>
                <w:szCs w:val="18"/>
                <w:lang w:eastAsia="de-DE"/>
              </w:rPr>
            </w:pPr>
            <w:r w:rsidRPr="00D2438D">
              <w:rPr>
                <w:sz w:val="18"/>
                <w:szCs w:val="18"/>
                <w:lang w:eastAsia="de-DE"/>
              </w:rPr>
              <w:t>1.9</w:t>
            </w:r>
          </w:p>
        </w:tc>
        <w:tc>
          <w:tcPr>
            <w:tcW w:w="236" w:type="dxa"/>
            <w:shd w:val="clear" w:color="auto" w:fill="auto"/>
          </w:tcPr>
          <w:p w14:paraId="0CE934AF" w14:textId="77777777" w:rsidR="004544FE" w:rsidRPr="00D2438D" w:rsidRDefault="004544FE" w:rsidP="00F927D5">
            <w:pPr>
              <w:jc w:val="center"/>
              <w:rPr>
                <w:sz w:val="18"/>
                <w:szCs w:val="18"/>
                <w:lang w:eastAsia="de-DE"/>
              </w:rPr>
            </w:pPr>
          </w:p>
        </w:tc>
        <w:tc>
          <w:tcPr>
            <w:tcW w:w="1191" w:type="dxa"/>
            <w:tcBorders>
              <w:top w:val="single" w:sz="4" w:space="0" w:color="auto"/>
            </w:tcBorders>
          </w:tcPr>
          <w:p w14:paraId="6996CF2D" w14:textId="77777777" w:rsidR="004544FE" w:rsidRPr="00D2438D" w:rsidRDefault="004544FE" w:rsidP="00F927D5">
            <w:pPr>
              <w:jc w:val="center"/>
              <w:rPr>
                <w:sz w:val="18"/>
                <w:szCs w:val="18"/>
              </w:rPr>
            </w:pPr>
            <w:r w:rsidRPr="00D2438D">
              <w:rPr>
                <w:sz w:val="18"/>
                <w:szCs w:val="18"/>
              </w:rPr>
              <w:t>15</w:t>
            </w:r>
          </w:p>
        </w:tc>
        <w:tc>
          <w:tcPr>
            <w:tcW w:w="236" w:type="dxa"/>
          </w:tcPr>
          <w:p w14:paraId="5996D4A0" w14:textId="77777777" w:rsidR="004544FE" w:rsidRPr="00D2438D" w:rsidRDefault="004544FE" w:rsidP="00F927D5">
            <w:pPr>
              <w:jc w:val="center"/>
              <w:rPr>
                <w:sz w:val="18"/>
                <w:szCs w:val="18"/>
              </w:rPr>
            </w:pPr>
          </w:p>
        </w:tc>
        <w:tc>
          <w:tcPr>
            <w:tcW w:w="1134" w:type="dxa"/>
            <w:tcBorders>
              <w:top w:val="single" w:sz="4" w:space="0" w:color="auto"/>
            </w:tcBorders>
            <w:shd w:val="clear" w:color="auto" w:fill="auto"/>
            <w:vAlign w:val="center"/>
          </w:tcPr>
          <w:p w14:paraId="0A67F1D1" w14:textId="77777777" w:rsidR="004544FE" w:rsidRPr="00D2438D" w:rsidRDefault="004544FE" w:rsidP="00F927D5">
            <w:pPr>
              <w:jc w:val="center"/>
              <w:rPr>
                <w:sz w:val="18"/>
                <w:szCs w:val="18"/>
              </w:rPr>
            </w:pPr>
            <w:r w:rsidRPr="00D2438D">
              <w:rPr>
                <w:sz w:val="18"/>
                <w:szCs w:val="18"/>
              </w:rPr>
              <w:t>65</w:t>
            </w:r>
          </w:p>
        </w:tc>
        <w:tc>
          <w:tcPr>
            <w:tcW w:w="236" w:type="dxa"/>
            <w:shd w:val="clear" w:color="auto" w:fill="auto"/>
            <w:vAlign w:val="center"/>
          </w:tcPr>
          <w:p w14:paraId="50B4A3C9" w14:textId="77777777" w:rsidR="004544FE" w:rsidRPr="00D2438D" w:rsidRDefault="004544FE" w:rsidP="00F927D5">
            <w:pPr>
              <w:rPr>
                <w:sz w:val="18"/>
                <w:szCs w:val="18"/>
              </w:rPr>
            </w:pPr>
          </w:p>
        </w:tc>
        <w:tc>
          <w:tcPr>
            <w:tcW w:w="1716" w:type="dxa"/>
            <w:tcBorders>
              <w:top w:val="single" w:sz="4" w:space="0" w:color="auto"/>
            </w:tcBorders>
            <w:shd w:val="clear" w:color="auto" w:fill="auto"/>
            <w:vAlign w:val="center"/>
          </w:tcPr>
          <w:p w14:paraId="3CFC2D16" w14:textId="77777777" w:rsidR="004544FE" w:rsidRPr="00D2438D" w:rsidRDefault="004544FE" w:rsidP="00F927D5">
            <w:pPr>
              <w:ind w:right="29"/>
              <w:jc w:val="center"/>
              <w:rPr>
                <w:sz w:val="18"/>
                <w:szCs w:val="18"/>
              </w:rPr>
            </w:pPr>
            <w:r w:rsidRPr="00D2438D">
              <w:rPr>
                <w:sz w:val="18"/>
                <w:szCs w:val="18"/>
              </w:rPr>
              <w:t>Commerciale</w:t>
            </w:r>
          </w:p>
        </w:tc>
      </w:tr>
    </w:tbl>
    <w:p w14:paraId="78223EA7" w14:textId="77777777" w:rsidR="004544FE" w:rsidRPr="00D2438D" w:rsidRDefault="004544FE" w:rsidP="004544FE">
      <w:pPr>
        <w:rPr>
          <w:kern w:val="2"/>
          <w:lang w:val="en-US"/>
        </w:rPr>
      </w:pPr>
    </w:p>
    <w:p w14:paraId="54CA7365" w14:textId="7B659949" w:rsidR="004544FE" w:rsidRPr="00D2438D" w:rsidRDefault="004544FE" w:rsidP="004544FE">
      <w:pPr>
        <w:rPr>
          <w:kern w:val="2"/>
        </w:rPr>
      </w:pPr>
      <w:r w:rsidRPr="00D2438D">
        <w:rPr>
          <w:kern w:val="2"/>
        </w:rPr>
        <w:t>Pour plus d’infos sur le Server-on-Module conga-HPC/</w:t>
      </w:r>
      <w:proofErr w:type="spellStart"/>
      <w:r w:rsidRPr="00D2438D">
        <w:rPr>
          <w:kern w:val="2"/>
        </w:rPr>
        <w:t>sILH</w:t>
      </w:r>
      <w:proofErr w:type="spellEnd"/>
      <w:r w:rsidRPr="00D2438D">
        <w:rPr>
          <w:kern w:val="2"/>
        </w:rPr>
        <w:t xml:space="preserve"> COM-HPC Server Taille D, visitez :  </w:t>
      </w:r>
      <w:hyperlink r:id="rId10" w:history="1">
        <w:r w:rsidR="00C22655" w:rsidRPr="00D2438D">
          <w:rPr>
            <w:rStyle w:val="Hyperlink"/>
          </w:rPr>
          <w:t>https://www.congatec.com/en/products/com-hpc/conga-hpcsilh/</w:t>
        </w:r>
      </w:hyperlink>
      <w:r w:rsidR="00C22655" w:rsidRPr="00D2438D">
        <w:t xml:space="preserve"> </w:t>
      </w:r>
    </w:p>
    <w:p w14:paraId="75B9C4BA" w14:textId="77777777" w:rsidR="004544FE" w:rsidRPr="00D2438D" w:rsidRDefault="004544FE" w:rsidP="004544FE">
      <w:pPr>
        <w:rPr>
          <w:kern w:val="2"/>
        </w:rPr>
      </w:pPr>
    </w:p>
    <w:p w14:paraId="72BD0802" w14:textId="44F961C8" w:rsidR="004544FE" w:rsidRPr="00D2438D" w:rsidRDefault="004544FE" w:rsidP="004544FE">
      <w:pPr>
        <w:pStyle w:val="CommentText"/>
        <w:rPr>
          <w:sz w:val="22"/>
          <w:szCs w:val="22"/>
        </w:rPr>
      </w:pPr>
      <w:r w:rsidRPr="00D2438D">
        <w:rPr>
          <w:sz w:val="22"/>
          <w:szCs w:val="22"/>
        </w:rPr>
        <w:t xml:space="preserve">Plus d’infos sur les nouveaux processeurs Intel Xeon D-2700 sur la page d’accueil : </w:t>
      </w:r>
      <w:hyperlink r:id="rId11" w:history="1">
        <w:r w:rsidR="00C22655" w:rsidRPr="00D2438D">
          <w:rPr>
            <w:rStyle w:val="Hyperlink"/>
            <w:sz w:val="22"/>
            <w:szCs w:val="22"/>
          </w:rPr>
          <w:t>https://www.congatec.com/en/technologies/intel-xeon-d-modules/</w:t>
        </w:r>
      </w:hyperlink>
    </w:p>
    <w:p w14:paraId="34DB150C" w14:textId="77777777" w:rsidR="003021A0" w:rsidRPr="00D2438D" w:rsidRDefault="003021A0" w:rsidP="00484F39">
      <w:pPr>
        <w:pStyle w:val="Standard1"/>
        <w:spacing w:line="360" w:lineRule="auto"/>
        <w:rPr>
          <w:rFonts w:ascii="Arial" w:hAnsi="Arial" w:cs="Arial"/>
          <w:sz w:val="22"/>
          <w:szCs w:val="22"/>
          <w:lang w:val="fr-FR"/>
        </w:rPr>
      </w:pPr>
    </w:p>
    <w:p w14:paraId="53C34F71" w14:textId="77777777" w:rsidR="00C87CD8" w:rsidRPr="00D2438D" w:rsidRDefault="00C87CD8" w:rsidP="00673527">
      <w:pPr>
        <w:pStyle w:val="Standard1"/>
        <w:rPr>
          <w:rFonts w:ascii="Arial" w:hAnsi="Arial" w:cs="Arial"/>
          <w:sz w:val="22"/>
          <w:szCs w:val="22"/>
          <w:lang w:val="fr-FR"/>
        </w:rPr>
      </w:pPr>
    </w:p>
    <w:p w14:paraId="06CB72FA" w14:textId="77777777" w:rsidR="00F76F29" w:rsidRPr="00D2438D" w:rsidRDefault="00F76F29" w:rsidP="00F76F29">
      <w:pPr>
        <w:pStyle w:val="Standard1"/>
        <w:spacing w:line="360" w:lineRule="auto"/>
        <w:jc w:val="center"/>
        <w:rPr>
          <w:rFonts w:ascii="Arial" w:hAnsi="Arial" w:cs="Arial"/>
          <w:sz w:val="16"/>
          <w:szCs w:val="16"/>
          <w:lang w:val="fr-FR"/>
        </w:rPr>
      </w:pPr>
      <w:r w:rsidRPr="00D2438D">
        <w:rPr>
          <w:rFonts w:ascii="Arial" w:hAnsi="Arial" w:cs="Arial"/>
          <w:sz w:val="16"/>
          <w:szCs w:val="16"/>
          <w:lang w:val="fr-FR"/>
        </w:rPr>
        <w:t>* * *</w:t>
      </w:r>
    </w:p>
    <w:p w14:paraId="46069AE4" w14:textId="77777777" w:rsidR="0035632F" w:rsidRPr="00D2438D" w:rsidRDefault="0035632F" w:rsidP="00957615">
      <w:pPr>
        <w:pStyle w:val="Standard1"/>
        <w:ind w:right="283"/>
        <w:rPr>
          <w:rFonts w:ascii="Arial" w:hAnsi="Arial" w:cs="Arial"/>
          <w:b/>
          <w:bCs/>
          <w:sz w:val="16"/>
          <w:szCs w:val="16"/>
          <w:lang w:val="fr-FR"/>
        </w:rPr>
      </w:pPr>
    </w:p>
    <w:p w14:paraId="0670EDE8" w14:textId="77777777" w:rsidR="0035632F" w:rsidRPr="00D2438D" w:rsidRDefault="0035632F" w:rsidP="00957615">
      <w:pPr>
        <w:pStyle w:val="Standard1"/>
        <w:ind w:right="283"/>
        <w:rPr>
          <w:rFonts w:ascii="Arial" w:hAnsi="Arial" w:cs="Arial"/>
          <w:b/>
          <w:bCs/>
          <w:sz w:val="16"/>
          <w:szCs w:val="16"/>
          <w:lang w:val="fr-FR"/>
        </w:rPr>
      </w:pPr>
    </w:p>
    <w:p w14:paraId="35637EED" w14:textId="77777777" w:rsidR="00112510" w:rsidRPr="00D2438D" w:rsidRDefault="00112510" w:rsidP="00064097">
      <w:pPr>
        <w:pStyle w:val="xxstandard1"/>
        <w:spacing w:line="240" w:lineRule="auto"/>
        <w:rPr>
          <w:b/>
          <w:sz w:val="16"/>
          <w:szCs w:val="16"/>
        </w:rPr>
      </w:pPr>
      <w:r w:rsidRPr="00D2438D">
        <w:rPr>
          <w:b/>
          <w:sz w:val="16"/>
          <w:szCs w:val="16"/>
        </w:rPr>
        <w:t xml:space="preserve">À propos de congatec </w:t>
      </w:r>
    </w:p>
    <w:p w14:paraId="450912EE" w14:textId="08951DAE" w:rsidR="00112510" w:rsidRPr="00D2438D" w:rsidRDefault="00892DB8" w:rsidP="00064097">
      <w:pPr>
        <w:pStyle w:val="xxstandard1"/>
        <w:spacing w:line="240" w:lineRule="auto"/>
        <w:rPr>
          <w:sz w:val="16"/>
          <w:szCs w:val="16"/>
        </w:rPr>
      </w:pPr>
      <w:proofErr w:type="gramStart"/>
      <w:r w:rsidRPr="00D2438D">
        <w:rPr>
          <w:sz w:val="16"/>
          <w:szCs w:val="16"/>
        </w:rPr>
        <w:t>congatec</w:t>
      </w:r>
      <w:proofErr w:type="gramEnd"/>
      <w:r w:rsidRPr="00D2438D">
        <w:rPr>
          <w:sz w:val="16"/>
          <w:szCs w:val="16"/>
        </w:rPr>
        <w:t xml:space="preserve"> est une entreprise technologique à croissance rapide qui se concentre sur les produits et services d'informatique embarquée et de périphérie. </w:t>
      </w:r>
      <w:r w:rsidR="00112510" w:rsidRPr="00D2438D">
        <w:rPr>
          <w:sz w:val="16"/>
          <w:szCs w:val="16"/>
        </w:rPr>
        <w:t xml:space="preserve">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w:t>
      </w:r>
      <w:proofErr w:type="spellStart"/>
      <w:r w:rsidR="00112510" w:rsidRPr="00D2438D">
        <w:rPr>
          <w:sz w:val="16"/>
          <w:szCs w:val="16"/>
        </w:rPr>
        <w:t>Fund</w:t>
      </w:r>
      <w:proofErr w:type="spellEnd"/>
      <w:r w:rsidR="00112510" w:rsidRPr="00D2438D">
        <w:rPr>
          <w:sz w:val="16"/>
          <w:szCs w:val="16"/>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00112510" w:rsidRPr="00D2438D">
        <w:rPr>
          <w:sz w:val="16"/>
          <w:szCs w:val="16"/>
        </w:rPr>
        <w:t>congatec</w:t>
      </w:r>
      <w:proofErr w:type="gramEnd"/>
      <w:r w:rsidR="00112510" w:rsidRPr="00D2438D">
        <w:rPr>
          <w:sz w:val="16"/>
          <w:szCs w:val="16"/>
        </w:rPr>
        <w:t xml:space="preserve"> est le leader mondial du marché dans le segment des computer-on-modules et possède une excellente base de clients, des start-ups aux sociétés internationales de premier ordre. De plus amples informations sont disponibles sur notre site </w:t>
      </w:r>
      <w:proofErr w:type="spellStart"/>
      <w:r w:rsidR="00112510" w:rsidRPr="00D2438D">
        <w:rPr>
          <w:sz w:val="16"/>
          <w:szCs w:val="16"/>
        </w:rPr>
        <w:t>Site</w:t>
      </w:r>
      <w:proofErr w:type="spellEnd"/>
      <w:r w:rsidR="00112510" w:rsidRPr="00D2438D">
        <w:rPr>
          <w:sz w:val="16"/>
          <w:szCs w:val="16"/>
        </w:rPr>
        <w:t xml:space="preserve"> web : </w:t>
      </w:r>
      <w:hyperlink r:id="rId12" w:history="1">
        <w:r w:rsidR="00112510" w:rsidRPr="00D2438D">
          <w:rPr>
            <w:rStyle w:val="Hyperlink"/>
            <w:rFonts w:eastAsiaTheme="majorEastAsia"/>
            <w:sz w:val="16"/>
            <w:szCs w:val="16"/>
          </w:rPr>
          <w:t>www.congatec.com</w:t>
        </w:r>
      </w:hyperlink>
      <w:r w:rsidR="00112510" w:rsidRPr="00D2438D">
        <w:rPr>
          <w:rFonts w:eastAsiaTheme="majorEastAsia"/>
          <w:sz w:val="16"/>
          <w:szCs w:val="16"/>
          <w:u w:val="single"/>
        </w:rPr>
        <w:t xml:space="preserve"> </w:t>
      </w:r>
      <w:r w:rsidR="00112510" w:rsidRPr="00D2438D">
        <w:rPr>
          <w:sz w:val="16"/>
          <w:szCs w:val="16"/>
        </w:rPr>
        <w:t xml:space="preserve">ou </w:t>
      </w:r>
      <w:r w:rsidR="00112510" w:rsidRPr="00D2438D">
        <w:rPr>
          <w:rFonts w:eastAsia="MS Mincho"/>
          <w:sz w:val="16"/>
          <w:szCs w:val="16"/>
          <w:lang w:eastAsia="ja-JP"/>
        </w:rPr>
        <w:t>via</w:t>
      </w:r>
      <w:r w:rsidR="00112510" w:rsidRPr="00D2438D">
        <w:rPr>
          <w:rFonts w:eastAsia="MS Mincho"/>
          <w:sz w:val="16"/>
          <w:szCs w:val="16"/>
        </w:rPr>
        <w:t xml:space="preserve"> </w:t>
      </w:r>
      <w:hyperlink r:id="rId13" w:history="1">
        <w:r w:rsidR="00112510" w:rsidRPr="00D2438D">
          <w:rPr>
            <w:rStyle w:val="Hyperlink"/>
            <w:sz w:val="16"/>
            <w:szCs w:val="16"/>
          </w:rPr>
          <w:t>LinkedIn</w:t>
        </w:r>
      </w:hyperlink>
      <w:r w:rsidR="00112510" w:rsidRPr="00D2438D">
        <w:rPr>
          <w:rFonts w:eastAsia="MS Mincho"/>
          <w:sz w:val="16"/>
          <w:szCs w:val="16"/>
        </w:rPr>
        <w:t xml:space="preserve">, </w:t>
      </w:r>
      <w:hyperlink r:id="rId14" w:history="1">
        <w:r w:rsidR="00112510" w:rsidRPr="00D2438D">
          <w:rPr>
            <w:rStyle w:val="Hyperlink"/>
            <w:rFonts w:eastAsia="MS Mincho"/>
            <w:sz w:val="16"/>
            <w:szCs w:val="16"/>
          </w:rPr>
          <w:t>Twitter</w:t>
        </w:r>
      </w:hyperlink>
      <w:r w:rsidR="00112510" w:rsidRPr="00D2438D">
        <w:rPr>
          <w:rFonts w:eastAsia="MS Mincho"/>
          <w:sz w:val="16"/>
          <w:szCs w:val="16"/>
        </w:rPr>
        <w:t xml:space="preserve"> </w:t>
      </w:r>
      <w:r w:rsidR="00112510" w:rsidRPr="00D2438D">
        <w:rPr>
          <w:sz w:val="16"/>
          <w:szCs w:val="16"/>
        </w:rPr>
        <w:t xml:space="preserve">et </w:t>
      </w:r>
      <w:hyperlink r:id="rId15" w:history="1">
        <w:r w:rsidR="00112510" w:rsidRPr="00D2438D">
          <w:rPr>
            <w:rStyle w:val="Hyperlink"/>
            <w:rFonts w:eastAsiaTheme="majorEastAsia"/>
            <w:sz w:val="16"/>
            <w:szCs w:val="16"/>
          </w:rPr>
          <w:t>YouTube</w:t>
        </w:r>
      </w:hyperlink>
    </w:p>
    <w:p w14:paraId="0827FD38" w14:textId="7AB0C8DC" w:rsidR="00583DB6" w:rsidRPr="00D2438D" w:rsidRDefault="00583DB6" w:rsidP="00AD1F80">
      <w:pPr>
        <w:pStyle w:val="xxstandard1"/>
      </w:pPr>
    </w:p>
    <w:tbl>
      <w:tblPr>
        <w:tblW w:w="0" w:type="auto"/>
        <w:tblLayout w:type="fixed"/>
        <w:tblCellMar>
          <w:left w:w="0" w:type="dxa"/>
          <w:right w:w="0" w:type="dxa"/>
        </w:tblCellMar>
        <w:tblLook w:val="04A0" w:firstRow="1" w:lastRow="0" w:firstColumn="1" w:lastColumn="0" w:noHBand="0" w:noVBand="1"/>
      </w:tblPr>
      <w:tblGrid>
        <w:gridCol w:w="3686"/>
        <w:gridCol w:w="3402"/>
      </w:tblGrid>
      <w:tr w:rsidR="00D2438D" w:rsidRPr="00D2438D" w14:paraId="29F28D7E" w14:textId="77777777" w:rsidTr="00D2438D">
        <w:trPr>
          <w:trHeight w:val="270"/>
        </w:trPr>
        <w:tc>
          <w:tcPr>
            <w:tcW w:w="3686" w:type="dxa"/>
          </w:tcPr>
          <w:p w14:paraId="12DC34ED" w14:textId="77777777" w:rsidR="00D2438D" w:rsidRPr="00D2438D" w:rsidRDefault="00D2438D">
            <w:pPr>
              <w:pStyle w:val="Standard1"/>
              <w:tabs>
                <w:tab w:val="center" w:pos="1805"/>
              </w:tabs>
              <w:snapToGrid w:val="0"/>
              <w:spacing w:line="276" w:lineRule="auto"/>
              <w:ind w:right="-1058"/>
              <w:rPr>
                <w:rFonts w:ascii="Arial" w:hAnsi="Arial" w:cs="Arial"/>
                <w:b/>
                <w:sz w:val="20"/>
                <w:szCs w:val="20"/>
                <w:lang w:val="fr-FR"/>
              </w:rPr>
            </w:pPr>
          </w:p>
          <w:p w14:paraId="24E712BC" w14:textId="77777777" w:rsidR="00D2438D" w:rsidRPr="00D2438D" w:rsidRDefault="00D2438D">
            <w:pPr>
              <w:pStyle w:val="Standard1"/>
              <w:tabs>
                <w:tab w:val="center" w:pos="1805"/>
              </w:tabs>
              <w:snapToGrid w:val="0"/>
              <w:spacing w:line="276" w:lineRule="auto"/>
              <w:ind w:right="-1058"/>
              <w:rPr>
                <w:rFonts w:ascii="Arial" w:hAnsi="Arial" w:cs="Arial"/>
                <w:b/>
                <w:sz w:val="20"/>
                <w:szCs w:val="20"/>
                <w:lang w:val="fr-FR"/>
              </w:rPr>
            </w:pPr>
            <w:r w:rsidRPr="00D2438D">
              <w:rPr>
                <w:rFonts w:ascii="Arial" w:hAnsi="Arial" w:cs="Arial"/>
                <w:b/>
                <w:sz w:val="20"/>
                <w:szCs w:val="20"/>
                <w:lang w:val="fr-FR"/>
              </w:rPr>
              <w:t>Contact pour les lecteurs :</w:t>
            </w:r>
          </w:p>
          <w:p w14:paraId="4FC67756" w14:textId="77777777" w:rsidR="00D2438D" w:rsidRPr="00D2438D" w:rsidRDefault="00D2438D">
            <w:pPr>
              <w:pStyle w:val="Standard1"/>
              <w:snapToGrid w:val="0"/>
              <w:spacing w:line="276" w:lineRule="auto"/>
              <w:ind w:right="-1058"/>
              <w:rPr>
                <w:rFonts w:ascii="Arial" w:hAnsi="Arial" w:cs="Arial"/>
                <w:sz w:val="20"/>
                <w:szCs w:val="20"/>
                <w:lang w:val="fr-FR"/>
              </w:rPr>
            </w:pPr>
            <w:proofErr w:type="gramStart"/>
            <w:r w:rsidRPr="00D2438D">
              <w:rPr>
                <w:rFonts w:ascii="Arial" w:hAnsi="Arial" w:cs="Arial"/>
                <w:sz w:val="20"/>
                <w:szCs w:val="20"/>
                <w:lang w:val="fr-FR"/>
              </w:rPr>
              <w:t>congatec</w:t>
            </w:r>
            <w:proofErr w:type="gramEnd"/>
            <w:r w:rsidRPr="00D2438D">
              <w:rPr>
                <w:rFonts w:ascii="Arial" w:hAnsi="Arial" w:cs="Arial"/>
                <w:sz w:val="20"/>
                <w:szCs w:val="20"/>
                <w:lang w:val="fr-FR"/>
              </w:rPr>
              <w:t xml:space="preserve"> </w:t>
            </w:r>
          </w:p>
          <w:p w14:paraId="0BDCEB32" w14:textId="77777777" w:rsidR="00D2438D" w:rsidRPr="00D2438D" w:rsidRDefault="00D2438D">
            <w:pPr>
              <w:pStyle w:val="Standard1"/>
              <w:snapToGrid w:val="0"/>
              <w:spacing w:line="276" w:lineRule="auto"/>
              <w:ind w:right="-1058"/>
              <w:rPr>
                <w:rFonts w:ascii="Arial" w:hAnsi="Arial" w:cs="Arial"/>
                <w:sz w:val="20"/>
                <w:szCs w:val="20"/>
                <w:lang w:val="fr-FR"/>
              </w:rPr>
            </w:pPr>
            <w:r w:rsidRPr="00D2438D">
              <w:rPr>
                <w:rFonts w:ascii="Arial" w:hAnsi="Arial" w:cs="Arial"/>
                <w:sz w:val="20"/>
                <w:szCs w:val="20"/>
                <w:lang w:val="fr-FR"/>
              </w:rPr>
              <w:t>Stéphane Mailleau</w:t>
            </w:r>
          </w:p>
          <w:p w14:paraId="3537A58C" w14:textId="77777777" w:rsidR="00D2438D" w:rsidRPr="00D2438D" w:rsidRDefault="00D2438D">
            <w:pPr>
              <w:pStyle w:val="Standard1"/>
              <w:snapToGrid w:val="0"/>
              <w:spacing w:line="276" w:lineRule="auto"/>
              <w:rPr>
                <w:rFonts w:ascii="Arial" w:hAnsi="Arial" w:cs="Arial"/>
                <w:sz w:val="20"/>
                <w:szCs w:val="20"/>
                <w:lang w:val="fr-FR"/>
              </w:rPr>
            </w:pPr>
            <w:r w:rsidRPr="00D2438D">
              <w:rPr>
                <w:rFonts w:ascii="Arial" w:hAnsi="Arial" w:cs="Arial"/>
                <w:sz w:val="20"/>
                <w:szCs w:val="20"/>
                <w:lang w:val="fr-FR"/>
              </w:rPr>
              <w:t>Téléphone : +33 6 32 99 12 12</w:t>
            </w:r>
          </w:p>
          <w:p w14:paraId="32D6B12B" w14:textId="77777777" w:rsidR="00D2438D" w:rsidRPr="00D2438D" w:rsidRDefault="0031289B">
            <w:pPr>
              <w:pStyle w:val="Standard1"/>
              <w:snapToGrid w:val="0"/>
              <w:spacing w:line="276" w:lineRule="auto"/>
              <w:rPr>
                <w:rFonts w:ascii="Arial" w:hAnsi="Arial" w:cs="Arial"/>
                <w:sz w:val="20"/>
                <w:szCs w:val="20"/>
                <w:lang w:val="fr-FR"/>
              </w:rPr>
            </w:pPr>
            <w:hyperlink r:id="rId16" w:history="1">
              <w:r w:rsidR="00D2438D" w:rsidRPr="00D2438D">
                <w:rPr>
                  <w:rStyle w:val="Hyperlink"/>
                  <w:rFonts w:ascii="Arial" w:hAnsi="Arial" w:cs="Arial"/>
                  <w:sz w:val="20"/>
                  <w:szCs w:val="20"/>
                  <w:lang w:val="fr-FR"/>
                </w:rPr>
                <w:t>info@congatec.com</w:t>
              </w:r>
            </w:hyperlink>
            <w:r w:rsidR="00D2438D" w:rsidRPr="00D2438D">
              <w:rPr>
                <w:rFonts w:ascii="Arial" w:hAnsi="Arial" w:cs="Arial"/>
                <w:sz w:val="20"/>
                <w:szCs w:val="20"/>
                <w:lang w:val="fr-FR"/>
              </w:rPr>
              <w:t xml:space="preserve"> </w:t>
            </w:r>
          </w:p>
          <w:p w14:paraId="71579922" w14:textId="77777777" w:rsidR="00D2438D" w:rsidRPr="00D2438D" w:rsidRDefault="0031289B">
            <w:pPr>
              <w:pStyle w:val="Standard1"/>
              <w:snapToGrid w:val="0"/>
              <w:spacing w:line="276" w:lineRule="auto"/>
              <w:ind w:right="-1058"/>
              <w:rPr>
                <w:rFonts w:ascii="Arial" w:hAnsi="Arial" w:cs="Arial"/>
                <w:b/>
                <w:sz w:val="20"/>
                <w:szCs w:val="20"/>
                <w:u w:val="single"/>
                <w:lang w:val="fr-FR"/>
              </w:rPr>
            </w:pPr>
            <w:hyperlink r:id="rId17" w:history="1">
              <w:r w:rsidR="00D2438D" w:rsidRPr="00D2438D">
                <w:rPr>
                  <w:rStyle w:val="Hyperlink"/>
                  <w:rFonts w:ascii="Arial" w:hAnsi="Arial" w:cs="Arial"/>
                  <w:sz w:val="20"/>
                  <w:szCs w:val="20"/>
                  <w:lang w:val="fr-FR"/>
                </w:rPr>
                <w:t>www.congatec.com</w:t>
              </w:r>
            </w:hyperlink>
          </w:p>
        </w:tc>
        <w:tc>
          <w:tcPr>
            <w:tcW w:w="3402" w:type="dxa"/>
          </w:tcPr>
          <w:p w14:paraId="489A9760" w14:textId="77777777" w:rsidR="00D2438D" w:rsidRPr="00D2438D" w:rsidRDefault="00D2438D">
            <w:pPr>
              <w:pStyle w:val="Standard1"/>
              <w:snapToGrid w:val="0"/>
              <w:spacing w:line="276" w:lineRule="auto"/>
              <w:rPr>
                <w:rFonts w:ascii="Arial" w:hAnsi="Arial" w:cs="Arial"/>
                <w:b/>
                <w:sz w:val="20"/>
                <w:szCs w:val="20"/>
                <w:lang w:val="fr-FR"/>
              </w:rPr>
            </w:pPr>
          </w:p>
          <w:p w14:paraId="6DAE189C" w14:textId="77777777" w:rsidR="00D2438D" w:rsidRPr="00D2438D" w:rsidRDefault="00D2438D">
            <w:pPr>
              <w:pStyle w:val="Standard1"/>
              <w:snapToGrid w:val="0"/>
              <w:spacing w:line="276" w:lineRule="auto"/>
              <w:rPr>
                <w:rFonts w:ascii="Arial" w:hAnsi="Arial" w:cs="Arial"/>
                <w:b/>
                <w:sz w:val="20"/>
                <w:szCs w:val="20"/>
                <w:lang w:val="fr-FR"/>
              </w:rPr>
            </w:pPr>
            <w:r w:rsidRPr="00D2438D">
              <w:rPr>
                <w:rFonts w:ascii="Arial" w:hAnsi="Arial" w:cs="Arial"/>
                <w:b/>
                <w:sz w:val="20"/>
                <w:szCs w:val="20"/>
                <w:lang w:val="fr-FR"/>
              </w:rPr>
              <w:t>Contact pour la presse :</w:t>
            </w:r>
          </w:p>
          <w:p w14:paraId="4AF3179A" w14:textId="77777777" w:rsidR="00D2438D" w:rsidRPr="00D2438D" w:rsidRDefault="00D2438D">
            <w:pPr>
              <w:pStyle w:val="Standard1"/>
              <w:snapToGrid w:val="0"/>
              <w:spacing w:line="276" w:lineRule="auto"/>
              <w:rPr>
                <w:rFonts w:ascii="Arial" w:hAnsi="Arial" w:cs="Arial"/>
                <w:sz w:val="20"/>
                <w:szCs w:val="20"/>
                <w:lang w:val="fr-FR"/>
              </w:rPr>
            </w:pPr>
            <w:r w:rsidRPr="00D2438D">
              <w:rPr>
                <w:rFonts w:ascii="Arial" w:hAnsi="Arial" w:cs="Arial"/>
                <w:sz w:val="20"/>
                <w:szCs w:val="20"/>
                <w:lang w:val="fr-FR"/>
              </w:rPr>
              <w:t>SAMS Network</w:t>
            </w:r>
          </w:p>
          <w:p w14:paraId="6ADD3D65" w14:textId="77777777" w:rsidR="00D2438D" w:rsidRPr="00D2438D" w:rsidRDefault="00D2438D">
            <w:pPr>
              <w:pStyle w:val="Standard1"/>
              <w:snapToGrid w:val="0"/>
              <w:spacing w:line="276" w:lineRule="auto"/>
              <w:rPr>
                <w:rFonts w:ascii="Arial" w:hAnsi="Arial" w:cs="Arial"/>
                <w:sz w:val="20"/>
                <w:szCs w:val="20"/>
                <w:lang w:val="fr-FR"/>
              </w:rPr>
            </w:pPr>
            <w:r w:rsidRPr="00D2438D">
              <w:rPr>
                <w:rFonts w:ascii="Arial" w:hAnsi="Arial" w:cs="Arial"/>
                <w:sz w:val="20"/>
                <w:szCs w:val="20"/>
                <w:lang w:val="fr-FR"/>
              </w:rPr>
              <w:t>Michael Hennen</w:t>
            </w:r>
          </w:p>
          <w:p w14:paraId="44892C59" w14:textId="2F131259" w:rsidR="00D2438D" w:rsidRPr="00D2438D" w:rsidRDefault="00D2438D">
            <w:pPr>
              <w:pStyle w:val="Standard1"/>
              <w:snapToGrid w:val="0"/>
              <w:spacing w:line="276" w:lineRule="auto"/>
              <w:rPr>
                <w:rFonts w:ascii="Arial" w:hAnsi="Arial" w:cs="Arial"/>
                <w:sz w:val="20"/>
                <w:szCs w:val="20"/>
                <w:lang w:val="fr-FR"/>
              </w:rPr>
            </w:pPr>
            <w:r w:rsidRPr="00D2438D">
              <w:rPr>
                <w:rFonts w:ascii="Arial" w:hAnsi="Arial" w:cs="Arial"/>
                <w:sz w:val="20"/>
                <w:szCs w:val="20"/>
                <w:lang w:val="fr-FR"/>
              </w:rPr>
              <w:t>Téléphone</w:t>
            </w:r>
            <w:r w:rsidR="0031289B">
              <w:rPr>
                <w:rFonts w:ascii="Arial" w:hAnsi="Arial" w:cs="Arial"/>
                <w:sz w:val="20"/>
                <w:szCs w:val="20"/>
                <w:lang w:val="fr-FR"/>
              </w:rPr>
              <w:t xml:space="preserve"> </w:t>
            </w:r>
            <w:r w:rsidRPr="00D2438D">
              <w:rPr>
                <w:rFonts w:ascii="Arial" w:hAnsi="Arial" w:cs="Arial"/>
                <w:sz w:val="20"/>
                <w:szCs w:val="20"/>
                <w:lang w:val="fr-FR"/>
              </w:rPr>
              <w:t>: +49-2405-4526720</w:t>
            </w:r>
          </w:p>
          <w:p w14:paraId="5D773875" w14:textId="77777777" w:rsidR="00D2438D" w:rsidRPr="00D2438D" w:rsidRDefault="0031289B">
            <w:pPr>
              <w:pStyle w:val="Standard1"/>
              <w:snapToGrid w:val="0"/>
              <w:spacing w:line="276" w:lineRule="auto"/>
              <w:rPr>
                <w:rFonts w:ascii="Arial" w:hAnsi="Arial" w:cs="Arial"/>
                <w:sz w:val="20"/>
                <w:szCs w:val="20"/>
                <w:lang w:val="fr-FR"/>
              </w:rPr>
            </w:pPr>
            <w:hyperlink r:id="rId18" w:history="1">
              <w:r w:rsidR="00D2438D" w:rsidRPr="00D2438D">
                <w:rPr>
                  <w:rStyle w:val="Hyperlink"/>
                  <w:rFonts w:ascii="Arial" w:hAnsi="Arial" w:cs="Arial"/>
                  <w:sz w:val="20"/>
                  <w:szCs w:val="20"/>
                  <w:lang w:val="fr-FR"/>
                </w:rPr>
                <w:t>congatec@sams-network.com</w:t>
              </w:r>
            </w:hyperlink>
            <w:r w:rsidR="00D2438D" w:rsidRPr="00D2438D">
              <w:rPr>
                <w:rFonts w:ascii="Arial" w:hAnsi="Arial" w:cs="Arial"/>
                <w:sz w:val="20"/>
                <w:szCs w:val="20"/>
                <w:lang w:val="fr-FR"/>
              </w:rPr>
              <w:t xml:space="preserve"> </w:t>
            </w:r>
          </w:p>
          <w:p w14:paraId="41BDD072" w14:textId="77777777" w:rsidR="00D2438D" w:rsidRPr="00D2438D" w:rsidRDefault="0031289B">
            <w:pPr>
              <w:pStyle w:val="Standard1"/>
              <w:snapToGrid w:val="0"/>
              <w:spacing w:line="276" w:lineRule="auto"/>
              <w:rPr>
                <w:rFonts w:ascii="Arial" w:hAnsi="Arial" w:cs="Arial"/>
                <w:b/>
                <w:sz w:val="20"/>
                <w:szCs w:val="20"/>
                <w:u w:val="single"/>
                <w:lang w:val="fr-FR"/>
              </w:rPr>
            </w:pPr>
            <w:hyperlink r:id="rId19" w:history="1">
              <w:r w:rsidR="00D2438D" w:rsidRPr="00D2438D">
                <w:rPr>
                  <w:rStyle w:val="Hyperlink"/>
                  <w:rFonts w:ascii="Arial" w:hAnsi="Arial" w:cs="Arial"/>
                  <w:sz w:val="20"/>
                  <w:szCs w:val="20"/>
                </w:rPr>
                <w:t>www.sams-network.com</w:t>
              </w:r>
            </w:hyperlink>
          </w:p>
        </w:tc>
      </w:tr>
    </w:tbl>
    <w:p w14:paraId="592AD9B6" w14:textId="77777777" w:rsidR="00D2438D" w:rsidRPr="00D2438D" w:rsidRDefault="00D2438D" w:rsidP="00D2438D">
      <w:pPr>
        <w:pStyle w:val="Standard1"/>
        <w:ind w:right="283"/>
        <w:rPr>
          <w:rFonts w:ascii="Arial" w:hAnsi="Arial" w:cs="Arial"/>
          <w:b/>
          <w:bCs/>
          <w:kern w:val="2"/>
          <w:sz w:val="20"/>
          <w:szCs w:val="20"/>
          <w:lang w:val="fr-FR"/>
        </w:rPr>
      </w:pPr>
    </w:p>
    <w:p w14:paraId="165CE066" w14:textId="77777777" w:rsidR="000D498D" w:rsidRPr="008B6CD0" w:rsidRDefault="000D498D" w:rsidP="000D498D">
      <w:pPr>
        <w:pStyle w:val="Standard1"/>
        <w:rPr>
          <w:rFonts w:ascii="Arial" w:hAnsi="Arial" w:cs="Arial"/>
          <w:i/>
          <w:noProof/>
          <w:sz w:val="16"/>
          <w:szCs w:val="16"/>
          <w:lang w:val="fr-FR" w:eastAsia="de-DE"/>
        </w:rPr>
      </w:pPr>
      <w:r w:rsidRPr="008B6CD0">
        <w:rPr>
          <w:rFonts w:ascii="Arial" w:eastAsia="Times New Roman" w:hAnsi="Arial" w:cs="Arial"/>
          <w:sz w:val="16"/>
          <w:szCs w:val="16"/>
          <w:lang w:val="fr-FR"/>
        </w:rPr>
        <w:t xml:space="preserve">Texte et photo disponibles sur : </w:t>
      </w:r>
      <w:hyperlink r:id="rId20" w:history="1">
        <w:r w:rsidRPr="008B6CD0">
          <w:rPr>
            <w:rStyle w:val="Hyperlink"/>
            <w:rFonts w:ascii="Arial" w:eastAsia="Times New Roman" w:hAnsi="Arial" w:cs="Arial"/>
            <w:sz w:val="16"/>
            <w:szCs w:val="16"/>
            <w:lang w:val="fr-FR"/>
          </w:rPr>
          <w:t>https://www.congatec.com/fr/congatec/communiques-de-presse.html</w:t>
        </w:r>
      </w:hyperlink>
      <w:r w:rsidRPr="008B6CD0">
        <w:rPr>
          <w:rFonts w:ascii="Arial" w:eastAsia="Times New Roman" w:hAnsi="Arial" w:cs="Arial"/>
          <w:sz w:val="16"/>
          <w:szCs w:val="16"/>
          <w:lang w:val="fr-FR"/>
        </w:rPr>
        <w:t xml:space="preserve"> </w:t>
      </w:r>
    </w:p>
    <w:p w14:paraId="5FE23254" w14:textId="77777777" w:rsidR="009C76DA" w:rsidRPr="008B6CD0" w:rsidRDefault="009C76DA" w:rsidP="00583DB6">
      <w:pPr>
        <w:pStyle w:val="Standard1"/>
        <w:rPr>
          <w:rFonts w:ascii="Arial" w:eastAsia="Times New Roman" w:hAnsi="Arial" w:cs="Arial"/>
          <w:sz w:val="16"/>
          <w:szCs w:val="16"/>
          <w:lang w:val="fr-FR"/>
        </w:rPr>
      </w:pPr>
    </w:p>
    <w:p w14:paraId="5432B06A" w14:textId="5EE420A8" w:rsidR="009C76DA" w:rsidRPr="008B6CD0" w:rsidRDefault="003D0564" w:rsidP="00583DB6">
      <w:pPr>
        <w:pStyle w:val="Standard1"/>
        <w:rPr>
          <w:rFonts w:ascii="Arial" w:eastAsia="Times New Roman" w:hAnsi="Arial" w:cs="Arial"/>
          <w:i/>
          <w:iCs/>
          <w:sz w:val="16"/>
          <w:szCs w:val="16"/>
          <w:lang w:val="fr-FR"/>
        </w:rPr>
      </w:pPr>
      <w:r w:rsidRPr="008B6CD0">
        <w:rPr>
          <w:rFonts w:ascii="Arial" w:eastAsia="Times New Roman" w:hAnsi="Arial" w:cs="Arial"/>
          <w:i/>
          <w:iCs/>
          <w:sz w:val="16"/>
          <w:szCs w:val="16"/>
          <w:lang w:val="fr-FR"/>
        </w:rPr>
        <w:t>Intel, le logo Intel et les autres marques Intel sont des marques commerciales d'Intel Corporation ou de ses filiales.</w:t>
      </w:r>
    </w:p>
    <w:sectPr w:rsidR="009C76DA" w:rsidRPr="008B6CD0"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0C027" w14:textId="77777777" w:rsidR="0035042C" w:rsidRDefault="0035042C" w:rsidP="00AD1F80">
      <w:r>
        <w:separator/>
      </w:r>
    </w:p>
  </w:endnote>
  <w:endnote w:type="continuationSeparator" w:id="0">
    <w:p w14:paraId="42D628FD" w14:textId="77777777" w:rsidR="0035042C" w:rsidRDefault="0035042C" w:rsidP="00AD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7BC7"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DEE9E" w14:textId="77777777" w:rsidR="0035042C" w:rsidRDefault="0035042C" w:rsidP="00AD1F80">
      <w:r>
        <w:separator/>
      </w:r>
    </w:p>
  </w:footnote>
  <w:footnote w:type="continuationSeparator" w:id="0">
    <w:p w14:paraId="29B716C2" w14:textId="77777777" w:rsidR="0035042C" w:rsidRDefault="0035042C" w:rsidP="00AD1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BA96" w14:textId="77777777" w:rsidR="00431F25" w:rsidRDefault="00431F25" w:rsidP="008425FD">
    <w:pPr>
      <w:pStyle w:val="Pressemitteilung"/>
      <w:spacing w:before="0" w:after="0" w:line="240" w:lineRule="auto"/>
      <w:jc w:val="right"/>
    </w:pPr>
  </w:p>
  <w:p w14:paraId="4F10C2AA" w14:textId="77777777" w:rsidR="00300096" w:rsidRDefault="00300096" w:rsidP="008425FD">
    <w:pPr>
      <w:pStyle w:val="Pressemitteilung"/>
      <w:spacing w:before="0" w:after="0" w:line="240" w:lineRule="auto"/>
      <w:jc w:val="right"/>
    </w:pPr>
  </w:p>
  <w:p w14:paraId="5108DA1C" w14:textId="77777777" w:rsidR="00300096" w:rsidRDefault="00300096" w:rsidP="008425FD">
    <w:pPr>
      <w:pStyle w:val="Pressemitteilung"/>
      <w:spacing w:before="0" w:after="0" w:line="240" w:lineRule="auto"/>
      <w:jc w:val="right"/>
    </w:pPr>
  </w:p>
  <w:p w14:paraId="5BA442A8" w14:textId="77777777" w:rsidR="00B62671" w:rsidRDefault="00B62671" w:rsidP="008425FD">
    <w:pPr>
      <w:pStyle w:val="Pressemitteilung"/>
      <w:spacing w:before="0" w:after="0" w:line="240" w:lineRule="auto"/>
      <w:jc w:val="right"/>
    </w:pPr>
  </w:p>
  <w:p w14:paraId="479E02BE" w14:textId="77777777" w:rsidR="00B62671" w:rsidRDefault="00B62671" w:rsidP="008425FD">
    <w:pPr>
      <w:pStyle w:val="Pressemitteilung"/>
      <w:spacing w:before="0" w:after="0" w:line="240" w:lineRule="auto"/>
      <w:jc w:val="right"/>
    </w:pPr>
  </w:p>
  <w:p w14:paraId="13DC1974" w14:textId="77777777" w:rsidR="00B62671" w:rsidRDefault="00B62671" w:rsidP="008425FD">
    <w:pPr>
      <w:pStyle w:val="Pressemitteilung"/>
      <w:spacing w:before="0" w:after="0" w:line="240" w:lineRule="auto"/>
      <w:jc w:val="right"/>
    </w:pPr>
  </w:p>
  <w:p w14:paraId="7DC9363A" w14:textId="77777777" w:rsidR="00B62671" w:rsidRDefault="00B62671" w:rsidP="008425FD">
    <w:pPr>
      <w:pStyle w:val="Pressemitteilung"/>
      <w:spacing w:before="0" w:after="0" w:line="240" w:lineRule="auto"/>
      <w:jc w:val="right"/>
    </w:pPr>
  </w:p>
  <w:p w14:paraId="2B324D07" w14:textId="77777777" w:rsidR="00B62671" w:rsidRDefault="00B62671" w:rsidP="008425FD">
    <w:pPr>
      <w:pStyle w:val="Pressemitteilung"/>
      <w:spacing w:before="0" w:after="0" w:line="240" w:lineRule="auto"/>
      <w:jc w:val="right"/>
    </w:pPr>
  </w:p>
  <w:p w14:paraId="43C1C60E" w14:textId="77777777" w:rsidR="00B62671" w:rsidRDefault="00B62671" w:rsidP="008425FD">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6577"/>
    <w:multiLevelType w:val="hybridMultilevel"/>
    <w:tmpl w:val="08ACF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795752994">
    <w:abstractNumId w:val="2"/>
  </w:num>
  <w:num w:numId="2" w16cid:durableId="49264565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5302613">
    <w:abstractNumId w:val="3"/>
  </w:num>
  <w:num w:numId="4" w16cid:durableId="178372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4A9D"/>
    <w:rsid w:val="00021457"/>
    <w:rsid w:val="00027983"/>
    <w:rsid w:val="000355AD"/>
    <w:rsid w:val="00035738"/>
    <w:rsid w:val="00042600"/>
    <w:rsid w:val="00043787"/>
    <w:rsid w:val="00045E58"/>
    <w:rsid w:val="00047E06"/>
    <w:rsid w:val="00050C80"/>
    <w:rsid w:val="000553FB"/>
    <w:rsid w:val="00064097"/>
    <w:rsid w:val="0006483E"/>
    <w:rsid w:val="00074F95"/>
    <w:rsid w:val="00076185"/>
    <w:rsid w:val="00086C00"/>
    <w:rsid w:val="0009529F"/>
    <w:rsid w:val="00096758"/>
    <w:rsid w:val="0009734E"/>
    <w:rsid w:val="000A1392"/>
    <w:rsid w:val="000A30F4"/>
    <w:rsid w:val="000A394C"/>
    <w:rsid w:val="000A4662"/>
    <w:rsid w:val="000A4B1D"/>
    <w:rsid w:val="000B53F9"/>
    <w:rsid w:val="000B6F0B"/>
    <w:rsid w:val="000C0962"/>
    <w:rsid w:val="000D498D"/>
    <w:rsid w:val="000D66D4"/>
    <w:rsid w:val="000D68BA"/>
    <w:rsid w:val="000E2307"/>
    <w:rsid w:val="000E395C"/>
    <w:rsid w:val="000E736A"/>
    <w:rsid w:val="000F15EB"/>
    <w:rsid w:val="000F34E8"/>
    <w:rsid w:val="00100CE2"/>
    <w:rsid w:val="00101DF6"/>
    <w:rsid w:val="00105BFE"/>
    <w:rsid w:val="0011134D"/>
    <w:rsid w:val="00112510"/>
    <w:rsid w:val="00123D77"/>
    <w:rsid w:val="00132DD8"/>
    <w:rsid w:val="00135EBC"/>
    <w:rsid w:val="00136E20"/>
    <w:rsid w:val="0014653E"/>
    <w:rsid w:val="0014730F"/>
    <w:rsid w:val="00157343"/>
    <w:rsid w:val="00175EB3"/>
    <w:rsid w:val="00181222"/>
    <w:rsid w:val="00184D6F"/>
    <w:rsid w:val="001854B5"/>
    <w:rsid w:val="00187AFE"/>
    <w:rsid w:val="00191F41"/>
    <w:rsid w:val="001A0BA7"/>
    <w:rsid w:val="001A277C"/>
    <w:rsid w:val="001B0700"/>
    <w:rsid w:val="001B6B34"/>
    <w:rsid w:val="001C0038"/>
    <w:rsid w:val="001D055C"/>
    <w:rsid w:val="001E2E5F"/>
    <w:rsid w:val="001E3D01"/>
    <w:rsid w:val="001E4FB1"/>
    <w:rsid w:val="001E7371"/>
    <w:rsid w:val="002065F2"/>
    <w:rsid w:val="00212286"/>
    <w:rsid w:val="00223722"/>
    <w:rsid w:val="00231F74"/>
    <w:rsid w:val="002368AC"/>
    <w:rsid w:val="002376DB"/>
    <w:rsid w:val="002571A3"/>
    <w:rsid w:val="0025796B"/>
    <w:rsid w:val="00265C83"/>
    <w:rsid w:val="00267FF7"/>
    <w:rsid w:val="0027257B"/>
    <w:rsid w:val="00286CC1"/>
    <w:rsid w:val="002872D2"/>
    <w:rsid w:val="00292D50"/>
    <w:rsid w:val="0029792A"/>
    <w:rsid w:val="00297A5C"/>
    <w:rsid w:val="002A1662"/>
    <w:rsid w:val="002A6A78"/>
    <w:rsid w:val="002A7A02"/>
    <w:rsid w:val="002B14DE"/>
    <w:rsid w:val="002B1744"/>
    <w:rsid w:val="002B4B21"/>
    <w:rsid w:val="002B5DD9"/>
    <w:rsid w:val="002C28DA"/>
    <w:rsid w:val="002C6553"/>
    <w:rsid w:val="002C6A1D"/>
    <w:rsid w:val="002D3F17"/>
    <w:rsid w:val="002D56A3"/>
    <w:rsid w:val="002E333A"/>
    <w:rsid w:val="002F035E"/>
    <w:rsid w:val="002F066A"/>
    <w:rsid w:val="002F16A9"/>
    <w:rsid w:val="002F1A60"/>
    <w:rsid w:val="002F2955"/>
    <w:rsid w:val="002F6466"/>
    <w:rsid w:val="00300096"/>
    <w:rsid w:val="003021A0"/>
    <w:rsid w:val="00311214"/>
    <w:rsid w:val="0031289B"/>
    <w:rsid w:val="00316678"/>
    <w:rsid w:val="00331264"/>
    <w:rsid w:val="0033387F"/>
    <w:rsid w:val="00333EB3"/>
    <w:rsid w:val="00334450"/>
    <w:rsid w:val="0033610A"/>
    <w:rsid w:val="00336657"/>
    <w:rsid w:val="0034162E"/>
    <w:rsid w:val="0034266E"/>
    <w:rsid w:val="0035042C"/>
    <w:rsid w:val="00353C44"/>
    <w:rsid w:val="0035632F"/>
    <w:rsid w:val="00360338"/>
    <w:rsid w:val="00361541"/>
    <w:rsid w:val="003674FC"/>
    <w:rsid w:val="00371CDB"/>
    <w:rsid w:val="00372741"/>
    <w:rsid w:val="00377495"/>
    <w:rsid w:val="00381183"/>
    <w:rsid w:val="003839C2"/>
    <w:rsid w:val="003853EC"/>
    <w:rsid w:val="00385A11"/>
    <w:rsid w:val="00386E85"/>
    <w:rsid w:val="00394EEA"/>
    <w:rsid w:val="003A0171"/>
    <w:rsid w:val="003A7091"/>
    <w:rsid w:val="003B002F"/>
    <w:rsid w:val="003B7234"/>
    <w:rsid w:val="003B7808"/>
    <w:rsid w:val="003C513C"/>
    <w:rsid w:val="003D0210"/>
    <w:rsid w:val="003D0564"/>
    <w:rsid w:val="003D4675"/>
    <w:rsid w:val="003D5ED4"/>
    <w:rsid w:val="003E397A"/>
    <w:rsid w:val="003E5739"/>
    <w:rsid w:val="003E6413"/>
    <w:rsid w:val="003E64B3"/>
    <w:rsid w:val="003F3269"/>
    <w:rsid w:val="003F62FC"/>
    <w:rsid w:val="003F6DA4"/>
    <w:rsid w:val="0040683B"/>
    <w:rsid w:val="00413FB9"/>
    <w:rsid w:val="0042131F"/>
    <w:rsid w:val="00431604"/>
    <w:rsid w:val="00431F25"/>
    <w:rsid w:val="0043744F"/>
    <w:rsid w:val="00443C7F"/>
    <w:rsid w:val="00446472"/>
    <w:rsid w:val="00450C5C"/>
    <w:rsid w:val="00451C75"/>
    <w:rsid w:val="00451E34"/>
    <w:rsid w:val="004544FE"/>
    <w:rsid w:val="00462316"/>
    <w:rsid w:val="00466A57"/>
    <w:rsid w:val="00475771"/>
    <w:rsid w:val="00476500"/>
    <w:rsid w:val="00480CD4"/>
    <w:rsid w:val="004841F7"/>
    <w:rsid w:val="00484F39"/>
    <w:rsid w:val="0048544A"/>
    <w:rsid w:val="00490E6A"/>
    <w:rsid w:val="004930EB"/>
    <w:rsid w:val="004A2EEC"/>
    <w:rsid w:val="004A6525"/>
    <w:rsid w:val="004B1541"/>
    <w:rsid w:val="004B4B85"/>
    <w:rsid w:val="004D2177"/>
    <w:rsid w:val="004D3BA0"/>
    <w:rsid w:val="004D7F6A"/>
    <w:rsid w:val="004F08CB"/>
    <w:rsid w:val="00512C0E"/>
    <w:rsid w:val="005168E6"/>
    <w:rsid w:val="00527922"/>
    <w:rsid w:val="00536712"/>
    <w:rsid w:val="005368EB"/>
    <w:rsid w:val="005502A5"/>
    <w:rsid w:val="0055046D"/>
    <w:rsid w:val="0055155D"/>
    <w:rsid w:val="0055706B"/>
    <w:rsid w:val="005674E1"/>
    <w:rsid w:val="0058053F"/>
    <w:rsid w:val="00583DB6"/>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59C2"/>
    <w:rsid w:val="00640D57"/>
    <w:rsid w:val="00640FFB"/>
    <w:rsid w:val="0064417B"/>
    <w:rsid w:val="00650D54"/>
    <w:rsid w:val="006578A1"/>
    <w:rsid w:val="00662AB5"/>
    <w:rsid w:val="00664028"/>
    <w:rsid w:val="00667B3E"/>
    <w:rsid w:val="0067240C"/>
    <w:rsid w:val="00673527"/>
    <w:rsid w:val="00690ECD"/>
    <w:rsid w:val="0069359A"/>
    <w:rsid w:val="006A11AA"/>
    <w:rsid w:val="006A1238"/>
    <w:rsid w:val="006A1254"/>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6BC"/>
    <w:rsid w:val="00706CDC"/>
    <w:rsid w:val="007074D1"/>
    <w:rsid w:val="00730753"/>
    <w:rsid w:val="00735FC8"/>
    <w:rsid w:val="007372D4"/>
    <w:rsid w:val="00740CE2"/>
    <w:rsid w:val="00745D08"/>
    <w:rsid w:val="00745E4D"/>
    <w:rsid w:val="00747135"/>
    <w:rsid w:val="00747A2A"/>
    <w:rsid w:val="00751A5C"/>
    <w:rsid w:val="007527B5"/>
    <w:rsid w:val="00753991"/>
    <w:rsid w:val="00762E43"/>
    <w:rsid w:val="00765B08"/>
    <w:rsid w:val="00767A44"/>
    <w:rsid w:val="00771AFC"/>
    <w:rsid w:val="0077601C"/>
    <w:rsid w:val="00776AE3"/>
    <w:rsid w:val="00784949"/>
    <w:rsid w:val="0078770A"/>
    <w:rsid w:val="007923DD"/>
    <w:rsid w:val="0079344C"/>
    <w:rsid w:val="007A073A"/>
    <w:rsid w:val="007A1EAB"/>
    <w:rsid w:val="007A3A88"/>
    <w:rsid w:val="007B794A"/>
    <w:rsid w:val="007C46E3"/>
    <w:rsid w:val="007C5914"/>
    <w:rsid w:val="007D1C15"/>
    <w:rsid w:val="007E0AEB"/>
    <w:rsid w:val="007E5156"/>
    <w:rsid w:val="007E752C"/>
    <w:rsid w:val="007F3D6F"/>
    <w:rsid w:val="00800B73"/>
    <w:rsid w:val="008014CA"/>
    <w:rsid w:val="008021E1"/>
    <w:rsid w:val="008037EE"/>
    <w:rsid w:val="00803F97"/>
    <w:rsid w:val="0080538D"/>
    <w:rsid w:val="008119CB"/>
    <w:rsid w:val="00815A0F"/>
    <w:rsid w:val="0082049A"/>
    <w:rsid w:val="00832012"/>
    <w:rsid w:val="008326A9"/>
    <w:rsid w:val="00835D8A"/>
    <w:rsid w:val="008417D5"/>
    <w:rsid w:val="00841B78"/>
    <w:rsid w:val="00842166"/>
    <w:rsid w:val="008425FD"/>
    <w:rsid w:val="00843FE7"/>
    <w:rsid w:val="00846053"/>
    <w:rsid w:val="00846888"/>
    <w:rsid w:val="00847678"/>
    <w:rsid w:val="00855286"/>
    <w:rsid w:val="00881537"/>
    <w:rsid w:val="00881673"/>
    <w:rsid w:val="00881B43"/>
    <w:rsid w:val="0088225E"/>
    <w:rsid w:val="008851D2"/>
    <w:rsid w:val="00886219"/>
    <w:rsid w:val="00892DB8"/>
    <w:rsid w:val="00896530"/>
    <w:rsid w:val="00897D1F"/>
    <w:rsid w:val="008A3AC6"/>
    <w:rsid w:val="008B4A04"/>
    <w:rsid w:val="008B6CD0"/>
    <w:rsid w:val="008C012F"/>
    <w:rsid w:val="008C136D"/>
    <w:rsid w:val="008C1A4D"/>
    <w:rsid w:val="008D0A69"/>
    <w:rsid w:val="008D24CD"/>
    <w:rsid w:val="008E5A1D"/>
    <w:rsid w:val="008F0184"/>
    <w:rsid w:val="008F54B5"/>
    <w:rsid w:val="008F5898"/>
    <w:rsid w:val="008F70A2"/>
    <w:rsid w:val="009055B3"/>
    <w:rsid w:val="00911950"/>
    <w:rsid w:val="00915B34"/>
    <w:rsid w:val="009269F9"/>
    <w:rsid w:val="009310CF"/>
    <w:rsid w:val="009310D6"/>
    <w:rsid w:val="009335F3"/>
    <w:rsid w:val="009348CC"/>
    <w:rsid w:val="009366AB"/>
    <w:rsid w:val="00942ADF"/>
    <w:rsid w:val="00943C17"/>
    <w:rsid w:val="00946819"/>
    <w:rsid w:val="00955E11"/>
    <w:rsid w:val="00957615"/>
    <w:rsid w:val="00957EBF"/>
    <w:rsid w:val="00961278"/>
    <w:rsid w:val="009632B1"/>
    <w:rsid w:val="009651A1"/>
    <w:rsid w:val="009702BE"/>
    <w:rsid w:val="00970FBA"/>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9F72A4"/>
    <w:rsid w:val="00A015D9"/>
    <w:rsid w:val="00A12150"/>
    <w:rsid w:val="00A12F2D"/>
    <w:rsid w:val="00A171BD"/>
    <w:rsid w:val="00A31844"/>
    <w:rsid w:val="00A31EE8"/>
    <w:rsid w:val="00A342D1"/>
    <w:rsid w:val="00A44F2E"/>
    <w:rsid w:val="00A4732D"/>
    <w:rsid w:val="00A54FB5"/>
    <w:rsid w:val="00A61518"/>
    <w:rsid w:val="00A634ED"/>
    <w:rsid w:val="00A67A16"/>
    <w:rsid w:val="00A8157E"/>
    <w:rsid w:val="00A863AE"/>
    <w:rsid w:val="00A906AA"/>
    <w:rsid w:val="00A90AE1"/>
    <w:rsid w:val="00AA5C4C"/>
    <w:rsid w:val="00AB3308"/>
    <w:rsid w:val="00AB6EDF"/>
    <w:rsid w:val="00AD1F80"/>
    <w:rsid w:val="00AD2B3D"/>
    <w:rsid w:val="00AD560F"/>
    <w:rsid w:val="00AD6B52"/>
    <w:rsid w:val="00AE6368"/>
    <w:rsid w:val="00AF60DB"/>
    <w:rsid w:val="00B000CE"/>
    <w:rsid w:val="00B0389C"/>
    <w:rsid w:val="00B14955"/>
    <w:rsid w:val="00B2057B"/>
    <w:rsid w:val="00B21DA9"/>
    <w:rsid w:val="00B2216B"/>
    <w:rsid w:val="00B33182"/>
    <w:rsid w:val="00B37B7A"/>
    <w:rsid w:val="00B416C3"/>
    <w:rsid w:val="00B515F0"/>
    <w:rsid w:val="00B56D4A"/>
    <w:rsid w:val="00B62671"/>
    <w:rsid w:val="00B638FF"/>
    <w:rsid w:val="00B74386"/>
    <w:rsid w:val="00B76850"/>
    <w:rsid w:val="00B845D4"/>
    <w:rsid w:val="00B86632"/>
    <w:rsid w:val="00B86D2C"/>
    <w:rsid w:val="00B8731A"/>
    <w:rsid w:val="00B93BA5"/>
    <w:rsid w:val="00B94688"/>
    <w:rsid w:val="00B95301"/>
    <w:rsid w:val="00B96ED0"/>
    <w:rsid w:val="00BA1CB0"/>
    <w:rsid w:val="00BA5EC5"/>
    <w:rsid w:val="00BA651B"/>
    <w:rsid w:val="00BB3BA7"/>
    <w:rsid w:val="00BC404B"/>
    <w:rsid w:val="00BD1B8D"/>
    <w:rsid w:val="00BD26D1"/>
    <w:rsid w:val="00BD4A92"/>
    <w:rsid w:val="00BE6A4C"/>
    <w:rsid w:val="00BF445F"/>
    <w:rsid w:val="00BF4D98"/>
    <w:rsid w:val="00C07938"/>
    <w:rsid w:val="00C1056E"/>
    <w:rsid w:val="00C1254F"/>
    <w:rsid w:val="00C178C8"/>
    <w:rsid w:val="00C22655"/>
    <w:rsid w:val="00C25E9F"/>
    <w:rsid w:val="00C42100"/>
    <w:rsid w:val="00C455CD"/>
    <w:rsid w:val="00C51840"/>
    <w:rsid w:val="00C67E97"/>
    <w:rsid w:val="00C80E04"/>
    <w:rsid w:val="00C83D12"/>
    <w:rsid w:val="00C87AB3"/>
    <w:rsid w:val="00C87CD8"/>
    <w:rsid w:val="00C958C5"/>
    <w:rsid w:val="00C9595F"/>
    <w:rsid w:val="00C96F92"/>
    <w:rsid w:val="00CA0D75"/>
    <w:rsid w:val="00CA5BBA"/>
    <w:rsid w:val="00CB3F57"/>
    <w:rsid w:val="00CB4A50"/>
    <w:rsid w:val="00CB4D4E"/>
    <w:rsid w:val="00CC0AA6"/>
    <w:rsid w:val="00CC137C"/>
    <w:rsid w:val="00CC5773"/>
    <w:rsid w:val="00CD19EC"/>
    <w:rsid w:val="00CD3B59"/>
    <w:rsid w:val="00CD6592"/>
    <w:rsid w:val="00CE2C7F"/>
    <w:rsid w:val="00CE3C20"/>
    <w:rsid w:val="00CF0B0F"/>
    <w:rsid w:val="00CF2C1D"/>
    <w:rsid w:val="00D00E35"/>
    <w:rsid w:val="00D03022"/>
    <w:rsid w:val="00D03C82"/>
    <w:rsid w:val="00D05AAE"/>
    <w:rsid w:val="00D07129"/>
    <w:rsid w:val="00D108AC"/>
    <w:rsid w:val="00D10AA2"/>
    <w:rsid w:val="00D1421C"/>
    <w:rsid w:val="00D22DCD"/>
    <w:rsid w:val="00D2438D"/>
    <w:rsid w:val="00D24E76"/>
    <w:rsid w:val="00D26CA7"/>
    <w:rsid w:val="00D300FD"/>
    <w:rsid w:val="00D308A6"/>
    <w:rsid w:val="00D37EFC"/>
    <w:rsid w:val="00D401F9"/>
    <w:rsid w:val="00D4045F"/>
    <w:rsid w:val="00D406F4"/>
    <w:rsid w:val="00D42082"/>
    <w:rsid w:val="00D4310E"/>
    <w:rsid w:val="00D44BFF"/>
    <w:rsid w:val="00D514B5"/>
    <w:rsid w:val="00D5329A"/>
    <w:rsid w:val="00D603DF"/>
    <w:rsid w:val="00D6303C"/>
    <w:rsid w:val="00D65D4F"/>
    <w:rsid w:val="00D66622"/>
    <w:rsid w:val="00D75EA8"/>
    <w:rsid w:val="00D82DFF"/>
    <w:rsid w:val="00D97483"/>
    <w:rsid w:val="00DA2F1F"/>
    <w:rsid w:val="00DA4058"/>
    <w:rsid w:val="00DA4873"/>
    <w:rsid w:val="00DA57D6"/>
    <w:rsid w:val="00DB38FA"/>
    <w:rsid w:val="00DB7A3D"/>
    <w:rsid w:val="00DC3A6C"/>
    <w:rsid w:val="00DC3B55"/>
    <w:rsid w:val="00DC7155"/>
    <w:rsid w:val="00DD26A5"/>
    <w:rsid w:val="00DE14B9"/>
    <w:rsid w:val="00DE150B"/>
    <w:rsid w:val="00DE2A02"/>
    <w:rsid w:val="00DF42D0"/>
    <w:rsid w:val="00DF642F"/>
    <w:rsid w:val="00DF71D8"/>
    <w:rsid w:val="00E018BE"/>
    <w:rsid w:val="00E0599D"/>
    <w:rsid w:val="00E06489"/>
    <w:rsid w:val="00E077EE"/>
    <w:rsid w:val="00E12255"/>
    <w:rsid w:val="00E2429A"/>
    <w:rsid w:val="00E27999"/>
    <w:rsid w:val="00E27A16"/>
    <w:rsid w:val="00E36DD7"/>
    <w:rsid w:val="00E403CC"/>
    <w:rsid w:val="00E529F9"/>
    <w:rsid w:val="00E5322D"/>
    <w:rsid w:val="00E55D4E"/>
    <w:rsid w:val="00E6142F"/>
    <w:rsid w:val="00E61991"/>
    <w:rsid w:val="00E6293B"/>
    <w:rsid w:val="00E660F8"/>
    <w:rsid w:val="00E6752E"/>
    <w:rsid w:val="00E72AE2"/>
    <w:rsid w:val="00E743D2"/>
    <w:rsid w:val="00E8535F"/>
    <w:rsid w:val="00E91D8A"/>
    <w:rsid w:val="00E94B78"/>
    <w:rsid w:val="00E953EE"/>
    <w:rsid w:val="00EA0E59"/>
    <w:rsid w:val="00EA28D0"/>
    <w:rsid w:val="00EA602D"/>
    <w:rsid w:val="00EA6510"/>
    <w:rsid w:val="00EA6BD4"/>
    <w:rsid w:val="00EB31F0"/>
    <w:rsid w:val="00EC0615"/>
    <w:rsid w:val="00EC06F4"/>
    <w:rsid w:val="00EC0F56"/>
    <w:rsid w:val="00EC5DB5"/>
    <w:rsid w:val="00EC6357"/>
    <w:rsid w:val="00EC6ACF"/>
    <w:rsid w:val="00ED020E"/>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7A76"/>
    <w:rsid w:val="00F37CC6"/>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EC5"/>
    <w:rsid w:val="00FB2636"/>
    <w:rsid w:val="00FB69EB"/>
    <w:rsid w:val="00FB7553"/>
    <w:rsid w:val="00FC2026"/>
    <w:rsid w:val="00FC2B3A"/>
    <w:rsid w:val="00FC2C75"/>
    <w:rsid w:val="00FC70BF"/>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7D4A0"/>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F80"/>
    <w:pPr>
      <w:suppressAutoHyphens/>
      <w:spacing w:line="360" w:lineRule="auto"/>
    </w:pPr>
    <w:rPr>
      <w:rFonts w:ascii="Arial" w:eastAsia="Times New Roman" w:hAnsi="Arial" w:cs="Arial"/>
      <w:kern w:val="1"/>
      <w:lang w:val="fr-FR" w:eastAsia="ar-SA"/>
    </w:rPr>
  </w:style>
  <w:style w:type="paragraph" w:styleId="Heading1">
    <w:name w:val="heading 1"/>
    <w:basedOn w:val="Normal"/>
    <w:next w:val="Normal"/>
    <w:link w:val="Heading1Char"/>
    <w:uiPriority w:val="9"/>
    <w:qFormat/>
    <w:rsid w:val="0040683B"/>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83B"/>
    <w:rPr>
      <w:rFonts w:ascii="Arial" w:eastAsia="Times New Roman" w:hAnsi="Arial" w:cs="Arial"/>
      <w:b/>
      <w:bCs/>
      <w:noProof/>
      <w:kern w:val="1"/>
      <w:sz w:val="36"/>
      <w:szCs w:val="36"/>
      <w:lang w:val="fr-FR"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Normal"/>
    <w:rsid w:val="00112510"/>
    <w:pPr>
      <w:suppressAutoHyphens w:val="0"/>
    </w:pPr>
    <w:rPr>
      <w:rFonts w:eastAsiaTheme="minorHAnsi"/>
      <w:kern w:val="0"/>
      <w:lang w:eastAsia="de-DE"/>
    </w:rPr>
  </w:style>
  <w:style w:type="character" w:styleId="UnresolvedMention">
    <w:name w:val="Unresolved Mention"/>
    <w:basedOn w:val="DefaultParagraphFont"/>
    <w:uiPriority w:val="99"/>
    <w:semiHidden/>
    <w:unhideWhenUsed/>
    <w:rsid w:val="006A11AA"/>
    <w:rPr>
      <w:color w:val="605E5C"/>
      <w:shd w:val="clear" w:color="auto" w:fill="E1DFDD"/>
    </w:rPr>
  </w:style>
  <w:style w:type="paragraph" w:styleId="Revision">
    <w:name w:val="Revision"/>
    <w:hidden/>
    <w:uiPriority w:val="99"/>
    <w:semiHidden/>
    <w:rsid w:val="00EC0615"/>
    <w:rPr>
      <w:rFonts w:ascii="Arial" w:eastAsia="Times New Roman" w:hAnsi="Arial" w:cs="Arial"/>
      <w:kern w:val="1"/>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31967248">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455449" TargetMode="External"/><Relationship Id="rId18" Type="http://schemas.openxmlformats.org/officeDocument/2006/relationships/hyperlink" Target="mailto:congatec@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mailto:info@congatec.com" TargetMode="External"/><Relationship Id="rId20" Type="http://schemas.openxmlformats.org/officeDocument/2006/relationships/hyperlink" Target="https://www.congatec.com/fr/congatec/communiques-de-press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technologies/intel-xeon-d-modul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youtube.com/congatecAE" TargetMode="External"/><Relationship Id="rId23" Type="http://schemas.openxmlformats.org/officeDocument/2006/relationships/fontTable" Target="fontTable.xml"/><Relationship Id="rId10" Type="http://schemas.openxmlformats.org/officeDocument/2006/relationships/hyperlink" Target="https://www.congatec.com/en/products/com-hpc/conga-hpcsilh/"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twitter.com/congatecAG"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B87AA-7067-4C25-AD7F-375551DD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1319</Words>
  <Characters>8310</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Thomas Schloesser</cp:lastModifiedBy>
  <cp:revision>2</cp:revision>
  <cp:lastPrinted>2020-12-07T11:00:00Z</cp:lastPrinted>
  <dcterms:created xsi:type="dcterms:W3CDTF">2022-07-26T14:45:00Z</dcterms:created>
  <dcterms:modified xsi:type="dcterms:W3CDTF">2022-07-26T14:45:00Z</dcterms:modified>
</cp:coreProperties>
</file>