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9E4F5C" w:rsidRDefault="00B62671" w:rsidP="000D16E1">
      <w:pPr>
        <w:pStyle w:val="berschrift1"/>
        <w:rPr>
          <w:noProof w:val="0"/>
        </w:rPr>
      </w:pPr>
      <w:r w:rsidRPr="009E4F5C">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sidRPr="009E4F5C">
        <w:rPr>
          <w:noProof w:val="0"/>
        </w:rPr>
        <w:t>P</w:t>
      </w:r>
      <w:r w:rsidR="00191F41" w:rsidRPr="009E4F5C">
        <w:rPr>
          <w:noProof w:val="0"/>
        </w:rPr>
        <w:t>ressemitteilung</w:t>
      </w:r>
    </w:p>
    <w:p w:rsidR="00C958C5" w:rsidRPr="009E4F5C" w:rsidRDefault="00C958C5" w:rsidP="000D16E1">
      <w:pPr>
        <w:pStyle w:val="berschrift1"/>
        <w:rPr>
          <w:noProof w:val="0"/>
        </w:rPr>
      </w:pPr>
    </w:p>
    <w:p w:rsidR="00C958C5" w:rsidRPr="009E4F5C" w:rsidRDefault="00C958C5" w:rsidP="000D16E1">
      <w:pPr>
        <w:pStyle w:val="berschrift1"/>
        <w:rPr>
          <w:noProof w:val="0"/>
        </w:rPr>
      </w:pPr>
    </w:p>
    <w:p w:rsidR="00540B86" w:rsidRPr="009E4F5C" w:rsidRDefault="00540B86" w:rsidP="003500D9">
      <w:pPr>
        <w:rPr>
          <w:rStyle w:val="Kommentarzeichen1"/>
          <w:rFonts w:cs="Arial"/>
          <w:sz w:val="22"/>
          <w:szCs w:val="22"/>
        </w:rPr>
      </w:pPr>
      <w:r w:rsidRPr="009E4F5C">
        <w:rPr>
          <w:rStyle w:val="Kommentarzeichen1"/>
          <w:rFonts w:cs="Arial"/>
          <w:sz w:val="22"/>
          <w:szCs w:val="22"/>
        </w:rPr>
        <w:t>Neue ultra-robuste congatec Module der 11. Intel</w:t>
      </w:r>
      <w:r w:rsidR="00DA4C3D" w:rsidRPr="009E4F5C">
        <w:rPr>
          <w:rStyle w:val="Kommentarzeichen1"/>
          <w:rFonts w:cs="Arial"/>
          <w:sz w:val="22"/>
          <w:szCs w:val="22"/>
          <w:vertAlign w:val="superscript"/>
        </w:rPr>
        <w:t>®</w:t>
      </w:r>
      <w:r w:rsidRPr="009E4F5C">
        <w:rPr>
          <w:rStyle w:val="Kommentarzeichen1"/>
          <w:rFonts w:cs="Arial"/>
          <w:sz w:val="22"/>
          <w:szCs w:val="22"/>
        </w:rPr>
        <w:t xml:space="preserve"> Core</w:t>
      </w:r>
      <w:r w:rsidR="00DA4C3D" w:rsidRPr="009E4F5C">
        <w:rPr>
          <w:rStyle w:val="Kommentarzeichen1"/>
          <w:rFonts w:cs="Arial"/>
          <w:sz w:val="22"/>
          <w:szCs w:val="22"/>
          <w:vertAlign w:val="superscript"/>
        </w:rPr>
        <w:t>®</w:t>
      </w:r>
      <w:r w:rsidRPr="009E4F5C">
        <w:rPr>
          <w:rStyle w:val="Kommentarzeichen1"/>
          <w:rFonts w:cs="Arial"/>
          <w:sz w:val="22"/>
          <w:szCs w:val="22"/>
        </w:rPr>
        <w:t xml:space="preserve"> Generation mit gelötetem RAM</w:t>
      </w:r>
    </w:p>
    <w:p w:rsidR="00991C13" w:rsidRPr="009E4F5C" w:rsidRDefault="00991C13" w:rsidP="000D16E1">
      <w:pPr>
        <w:rPr>
          <w:rStyle w:val="Kommentarzeichen1"/>
          <w:rFonts w:cs="Arial"/>
          <w:sz w:val="22"/>
          <w:szCs w:val="22"/>
        </w:rPr>
      </w:pPr>
    </w:p>
    <w:p w:rsidR="00540B86" w:rsidRPr="009E4F5C" w:rsidRDefault="00540B86" w:rsidP="000D16E1">
      <w:pPr>
        <w:pStyle w:val="berschrift1"/>
        <w:rPr>
          <w:noProof w:val="0"/>
        </w:rPr>
      </w:pPr>
      <w:r w:rsidRPr="009E4F5C">
        <w:rPr>
          <w:noProof w:val="0"/>
        </w:rPr>
        <w:t>Schock- und vibrationsresistent</w:t>
      </w:r>
    </w:p>
    <w:p w:rsidR="00D82DFF" w:rsidRPr="009E4F5C" w:rsidRDefault="00D82DFF" w:rsidP="00AE6368">
      <w:pPr>
        <w:spacing w:line="276" w:lineRule="auto"/>
        <w:rPr>
          <w:rStyle w:val="Kommentarzeichen1"/>
          <w:rFonts w:cs="Arial"/>
          <w:b/>
          <w:sz w:val="22"/>
          <w:szCs w:val="22"/>
        </w:rPr>
      </w:pPr>
    </w:p>
    <w:p w:rsidR="00DA4C3D" w:rsidRPr="009E4F5C" w:rsidRDefault="005D0E7E" w:rsidP="00AE6368">
      <w:pPr>
        <w:spacing w:line="276" w:lineRule="auto"/>
        <w:rPr>
          <w:rStyle w:val="Kommentarzeichen1"/>
          <w:rFonts w:cs="Arial"/>
          <w:b/>
          <w:sz w:val="22"/>
          <w:szCs w:val="22"/>
        </w:rPr>
      </w:pPr>
      <w:r>
        <w:rPr>
          <w:rStyle w:val="Kommentarzeichen1"/>
          <w:rFonts w:cs="Arial"/>
          <w:b/>
          <w:noProof/>
          <w:sz w:val="22"/>
          <w:szCs w:val="22"/>
          <w:lang w:eastAsia="de-DE"/>
        </w:rPr>
        <w:drawing>
          <wp:inline distT="0" distB="0" distL="0" distR="0">
            <wp:extent cx="5598795" cy="360108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8795" cy="3601085"/>
                    </a:xfrm>
                    <a:prstGeom prst="rect">
                      <a:avLst/>
                    </a:prstGeom>
                    <a:noFill/>
                    <a:ln>
                      <a:noFill/>
                    </a:ln>
                  </pic:spPr>
                </pic:pic>
              </a:graphicData>
            </a:graphic>
          </wp:inline>
        </w:drawing>
      </w:r>
    </w:p>
    <w:p w:rsidR="00DA4C3D" w:rsidRPr="009E4F5C" w:rsidRDefault="00DA4C3D" w:rsidP="00AE6368">
      <w:pPr>
        <w:spacing w:line="276" w:lineRule="auto"/>
        <w:rPr>
          <w:rStyle w:val="Kommentarzeichen1"/>
          <w:rFonts w:cs="Arial"/>
          <w:b/>
          <w:sz w:val="22"/>
          <w:szCs w:val="22"/>
        </w:rPr>
      </w:pPr>
    </w:p>
    <w:p w:rsidR="00540B86" w:rsidRPr="009E4F5C" w:rsidRDefault="00540B86" w:rsidP="00540B86">
      <w:pPr>
        <w:rPr>
          <w:rStyle w:val="Kommentarzeichen1"/>
          <w:rFonts w:cs="Arial"/>
          <w:sz w:val="22"/>
          <w:szCs w:val="22"/>
        </w:rPr>
      </w:pPr>
      <w:r w:rsidRPr="009E4F5C">
        <w:rPr>
          <w:rStyle w:val="Kommentarzeichen1"/>
          <w:rFonts w:cs="Arial"/>
          <w:b/>
          <w:sz w:val="22"/>
          <w:szCs w:val="22"/>
        </w:rPr>
        <w:t xml:space="preserve">Deggendorf, 14. Juli 2021 * * * </w:t>
      </w:r>
      <w:r w:rsidRPr="009E4F5C">
        <w:rPr>
          <w:rStyle w:val="Kommentarzeichen1"/>
          <w:rFonts w:cs="Arial"/>
          <w:sz w:val="22"/>
          <w:szCs w:val="22"/>
        </w:rPr>
        <w:t>congatec – ein führender Anbieter von Embedded und Edge Computing Technologie – stellt neue Computer-on-Module der 11. Generation Intel</w:t>
      </w:r>
      <w:r w:rsidR="00DA4C3D" w:rsidRPr="009E4F5C">
        <w:rPr>
          <w:rStyle w:val="Kommentarzeichen1"/>
          <w:rFonts w:cs="Arial"/>
          <w:sz w:val="22"/>
          <w:szCs w:val="22"/>
          <w:vertAlign w:val="superscript"/>
        </w:rPr>
        <w:t>®</w:t>
      </w:r>
      <w:r w:rsidRPr="009E4F5C">
        <w:rPr>
          <w:rStyle w:val="Kommentarzeichen1"/>
          <w:rFonts w:cs="Arial"/>
          <w:sz w:val="22"/>
          <w:szCs w:val="22"/>
        </w:rPr>
        <w:t xml:space="preserve"> Core</w:t>
      </w:r>
      <w:r w:rsidR="00DA4C3D" w:rsidRPr="009E4F5C">
        <w:rPr>
          <w:rStyle w:val="Kommentarzeichen1"/>
          <w:rFonts w:cs="Arial"/>
          <w:sz w:val="22"/>
          <w:szCs w:val="22"/>
          <w:vertAlign w:val="superscript"/>
        </w:rPr>
        <w:t>®</w:t>
      </w:r>
      <w:r w:rsidRPr="009E4F5C">
        <w:rPr>
          <w:rStyle w:val="Kommentarzeichen1"/>
          <w:rFonts w:cs="Arial"/>
          <w:sz w:val="22"/>
          <w:szCs w:val="22"/>
        </w:rPr>
        <w:t xml:space="preserve"> Prozessoren mit gelötetem RAM für höchste Schock- und Vibrationsfestigkeit vor. Die neuen COM Express Type 6 Computer-on-Modules halten selbst extremen Temperaturbereichen von -40°C bis +85°C stand und bieten volle Konformität für schock- und vibrations</w:t>
      </w:r>
      <w:r w:rsidR="00DA4C3D" w:rsidRPr="009E4F5C">
        <w:rPr>
          <w:rStyle w:val="Kommentarzeichen1"/>
          <w:rFonts w:cs="Arial"/>
          <w:sz w:val="22"/>
          <w:szCs w:val="22"/>
        </w:rPr>
        <w:t>resistenten</w:t>
      </w:r>
      <w:r w:rsidRPr="009E4F5C">
        <w:rPr>
          <w:rStyle w:val="Kommentarzeichen1"/>
          <w:rFonts w:cs="Arial"/>
          <w:sz w:val="22"/>
          <w:szCs w:val="22"/>
        </w:rPr>
        <w:t xml:space="preserve"> Betrieb in anspruchsvollen Transport- und Mobilitätsanwendungen. Für preissensitivere Anwendungen bietet congatec auch eine kostenoptimierte Intel</w:t>
      </w:r>
      <w:r w:rsidR="00DA4C3D" w:rsidRPr="009E4F5C">
        <w:rPr>
          <w:rStyle w:val="Kommentarzeichen1"/>
          <w:rFonts w:cs="Arial"/>
          <w:sz w:val="22"/>
          <w:szCs w:val="22"/>
          <w:vertAlign w:val="superscript"/>
        </w:rPr>
        <w:t>®</w:t>
      </w:r>
      <w:r w:rsidRPr="009E4F5C">
        <w:rPr>
          <w:rStyle w:val="Kommentarzeichen1"/>
          <w:rFonts w:cs="Arial"/>
          <w:sz w:val="22"/>
          <w:szCs w:val="22"/>
        </w:rPr>
        <w:t xml:space="preserve"> Celeron</w:t>
      </w:r>
      <w:r w:rsidR="00DA4C3D" w:rsidRPr="009E4F5C">
        <w:rPr>
          <w:rStyle w:val="Kommentarzeichen1"/>
          <w:rFonts w:cs="Arial"/>
          <w:sz w:val="22"/>
          <w:szCs w:val="22"/>
          <w:vertAlign w:val="superscript"/>
        </w:rPr>
        <w:t>®</w:t>
      </w:r>
      <w:r w:rsidRPr="009E4F5C">
        <w:rPr>
          <w:rStyle w:val="Kommentarzeichen1"/>
          <w:rFonts w:cs="Arial"/>
          <w:sz w:val="22"/>
          <w:szCs w:val="22"/>
        </w:rPr>
        <w:t xml:space="preserve"> </w:t>
      </w:r>
      <w:r w:rsidR="00585F34" w:rsidRPr="009E4F5C">
        <w:rPr>
          <w:rStyle w:val="Kommentarzeichen1"/>
          <w:rFonts w:cs="Arial"/>
          <w:sz w:val="22"/>
          <w:szCs w:val="22"/>
        </w:rPr>
        <w:t xml:space="preserve">Prozessor </w:t>
      </w:r>
      <w:r w:rsidRPr="009E4F5C">
        <w:rPr>
          <w:rStyle w:val="Kommentarzeichen1"/>
          <w:rFonts w:cs="Arial"/>
          <w:sz w:val="22"/>
          <w:szCs w:val="22"/>
        </w:rPr>
        <w:t xml:space="preserve">basierte Variante für den erweiterten Temperaturbereich von 0°C bis 60°C. Typische Kunden für die neue </w:t>
      </w:r>
      <w:r w:rsidR="00585F34" w:rsidRPr="009E4F5C">
        <w:rPr>
          <w:rStyle w:val="Kommentarzeichen1"/>
          <w:rFonts w:cs="Arial"/>
          <w:sz w:val="22"/>
          <w:szCs w:val="22"/>
        </w:rPr>
        <w:t>Range</w:t>
      </w:r>
      <w:r w:rsidRPr="009E4F5C">
        <w:rPr>
          <w:rStyle w:val="Kommentarzeichen1"/>
          <w:rFonts w:cs="Arial"/>
          <w:sz w:val="22"/>
          <w:szCs w:val="22"/>
        </w:rPr>
        <w:t xml:space="preserve"> an Computer-on-Modules auf Basis der Tiger Lake Mikroarchitektur sind OEMs von Zügen, Nutzfahrzeugen, Baumaschinen, landwirtschaftlichen Fahrzeugen, selbstfahrenden Robotern und vielen anderen mobilen Anwendungen in anspruchsvollsten Outdoor- und Off-Road-Umgebungen. Schock- und vibrationsresistente stationäre </w:t>
      </w:r>
      <w:r w:rsidR="007D14C8" w:rsidRPr="009E4F5C">
        <w:rPr>
          <w:rStyle w:val="Kommentarzeichen1"/>
          <w:rFonts w:cs="Arial"/>
          <w:sz w:val="22"/>
          <w:szCs w:val="22"/>
        </w:rPr>
        <w:t>Devices</w:t>
      </w:r>
      <w:r w:rsidRPr="009E4F5C">
        <w:rPr>
          <w:rStyle w:val="Kommentarzeichen1"/>
          <w:rFonts w:cs="Arial"/>
          <w:sz w:val="22"/>
          <w:szCs w:val="22"/>
        </w:rPr>
        <w:t xml:space="preserve"> sind ein weiterer wichtiger Anwendungsbereich, da die Digitalisierung den Schutz kritischer </w:t>
      </w:r>
      <w:r w:rsidRPr="009E4F5C">
        <w:rPr>
          <w:rStyle w:val="Kommentarzeichen1"/>
          <w:rFonts w:cs="Arial"/>
          <w:sz w:val="22"/>
          <w:szCs w:val="22"/>
        </w:rPr>
        <w:lastRenderedPageBreak/>
        <w:t>Infrastrukturen (CIP) gegen Erdbeben und andere missionskritische Ereignisse erfordert. All diese Anwendungen können nun von superschnellem LPDDR4X-RAM mit bis zu 4266 MT/s und In-Band-Fehlerkorrekturcode (IBECC) für Einzelfehlertoleranz und hohe Datenübertragungsqualität in EMI-kritischen Umgebungen profitieren.</w:t>
      </w:r>
    </w:p>
    <w:p w:rsidR="00540B86" w:rsidRPr="009E4F5C" w:rsidRDefault="00540B86" w:rsidP="00540B86">
      <w:pPr>
        <w:rPr>
          <w:rStyle w:val="Kommentarzeichen1"/>
          <w:rFonts w:cs="Arial"/>
          <w:sz w:val="22"/>
          <w:szCs w:val="22"/>
        </w:rPr>
      </w:pPr>
    </w:p>
    <w:p w:rsidR="00540B86" w:rsidRPr="009E4F5C" w:rsidRDefault="00540B86" w:rsidP="00540B86">
      <w:pPr>
        <w:rPr>
          <w:rStyle w:val="Kommentarzeichen1"/>
          <w:rFonts w:cs="Arial"/>
          <w:sz w:val="22"/>
          <w:szCs w:val="22"/>
        </w:rPr>
      </w:pPr>
      <w:r w:rsidRPr="009E4F5C">
        <w:rPr>
          <w:rStyle w:val="Kommentarzeichen1"/>
          <w:rFonts w:cs="Arial"/>
          <w:sz w:val="22"/>
          <w:szCs w:val="22"/>
        </w:rPr>
        <w:t>Das Value-Paket beinhaltet robuste Montageoptionen für das COM- und Carrier-Bundle, aktive und passive Kühloptionen, ein optionale</w:t>
      </w:r>
      <w:r w:rsidR="00585F34" w:rsidRPr="009E4F5C">
        <w:rPr>
          <w:rStyle w:val="Kommentarzeichen1"/>
          <w:rFonts w:cs="Arial"/>
          <w:sz w:val="22"/>
          <w:szCs w:val="22"/>
        </w:rPr>
        <w:t>s</w:t>
      </w:r>
      <w:r w:rsidRPr="009E4F5C">
        <w:rPr>
          <w:rStyle w:val="Kommentarzeichen1"/>
          <w:rFonts w:cs="Arial"/>
          <w:sz w:val="22"/>
          <w:szCs w:val="22"/>
        </w:rPr>
        <w:t xml:space="preserve"> </w:t>
      </w:r>
      <w:r w:rsidR="00585F34" w:rsidRPr="009E4F5C">
        <w:rPr>
          <w:rFonts w:cs="Arial"/>
          <w:szCs w:val="22"/>
        </w:rPr>
        <w:t xml:space="preserve">Conformal Coating </w:t>
      </w:r>
      <w:r w:rsidRPr="009E4F5C">
        <w:rPr>
          <w:rStyle w:val="Kommentarzeichen1"/>
          <w:rFonts w:cs="Arial"/>
          <w:sz w:val="22"/>
          <w:szCs w:val="22"/>
        </w:rPr>
        <w:t xml:space="preserve">zum Schutz vor Korrosion durch Feuchtigkeit oder Kondensation, eine Liste empfohlener </w:t>
      </w:r>
      <w:r w:rsidR="00585F34" w:rsidRPr="009E4F5C">
        <w:rPr>
          <w:rStyle w:val="Kommentarzeichen1"/>
          <w:rFonts w:cs="Arial"/>
          <w:sz w:val="22"/>
          <w:szCs w:val="22"/>
        </w:rPr>
        <w:t>Carrierboard</w:t>
      </w:r>
      <w:r w:rsidRPr="009E4F5C">
        <w:rPr>
          <w:rStyle w:val="Kommentarzeichen1"/>
          <w:rFonts w:cs="Arial"/>
          <w:sz w:val="22"/>
          <w:szCs w:val="22"/>
        </w:rPr>
        <w:t>-</w:t>
      </w:r>
      <w:r w:rsidR="00585F34" w:rsidRPr="009E4F5C">
        <w:rPr>
          <w:rStyle w:val="Kommentarzeichen1"/>
          <w:rFonts w:cs="Arial"/>
          <w:sz w:val="22"/>
          <w:szCs w:val="22"/>
        </w:rPr>
        <w:t>Auslegungen</w:t>
      </w:r>
      <w:r w:rsidRPr="009E4F5C">
        <w:rPr>
          <w:rStyle w:val="Kommentarzeichen1"/>
          <w:rFonts w:cs="Arial"/>
          <w:sz w:val="22"/>
          <w:szCs w:val="22"/>
        </w:rPr>
        <w:t xml:space="preserve"> und</w:t>
      </w:r>
      <w:r w:rsidR="005D0E7E">
        <w:rPr>
          <w:rStyle w:val="Kommentarzeichen1"/>
          <w:rFonts w:cs="Arial"/>
          <w:sz w:val="22"/>
          <w:szCs w:val="22"/>
        </w:rPr>
        <w:t xml:space="preserve"> –</w:t>
      </w:r>
      <w:r w:rsidRPr="009E4F5C">
        <w:rPr>
          <w:rStyle w:val="Kommentarzeichen1"/>
          <w:rFonts w:cs="Arial"/>
          <w:sz w:val="22"/>
          <w:szCs w:val="22"/>
        </w:rPr>
        <w:t xml:space="preserve"> für höchste Zuverlässigkeit</w:t>
      </w:r>
      <w:r w:rsidR="005D0E7E">
        <w:rPr>
          <w:rStyle w:val="Kommentarzeichen1"/>
          <w:rFonts w:cs="Arial"/>
          <w:sz w:val="22"/>
          <w:szCs w:val="22"/>
        </w:rPr>
        <w:t xml:space="preserve"> –</w:t>
      </w:r>
      <w:r w:rsidRPr="009E4F5C">
        <w:rPr>
          <w:rStyle w:val="Kommentarzeichen1"/>
          <w:rFonts w:cs="Arial"/>
          <w:sz w:val="22"/>
          <w:szCs w:val="22"/>
        </w:rPr>
        <w:t xml:space="preserve"> schock- und vibrations</w:t>
      </w:r>
      <w:r w:rsidR="00585F34" w:rsidRPr="009E4F5C">
        <w:rPr>
          <w:rStyle w:val="Kommentarzeichen1"/>
          <w:rFonts w:cs="Arial"/>
          <w:sz w:val="22"/>
          <w:szCs w:val="22"/>
        </w:rPr>
        <w:t>resistente</w:t>
      </w:r>
      <w:r w:rsidRPr="009E4F5C">
        <w:rPr>
          <w:rStyle w:val="Kommentarzeichen1"/>
          <w:rFonts w:cs="Arial"/>
          <w:sz w:val="22"/>
          <w:szCs w:val="22"/>
        </w:rPr>
        <w:t xml:space="preserve"> Komponenten für den erweiterten Temperaturbereich. Dieses beeindruckende technische Feature-Set wird durch ein umfassendes Service-Angebot ergänzt, das Schock- und Vibrationstests für kundenspezifische Systemdesigns, Temperatur-Screening</w:t>
      </w:r>
      <w:r w:rsidR="008D01C3" w:rsidRPr="009E4F5C">
        <w:rPr>
          <w:rStyle w:val="Kommentarzeichen1"/>
          <w:rFonts w:cs="Arial"/>
          <w:sz w:val="22"/>
          <w:szCs w:val="22"/>
        </w:rPr>
        <w:t>-</w:t>
      </w:r>
      <w:r w:rsidRPr="009E4F5C">
        <w:rPr>
          <w:rStyle w:val="Kommentarzeichen1"/>
          <w:rFonts w:cs="Arial"/>
          <w:sz w:val="22"/>
          <w:szCs w:val="22"/>
        </w:rPr>
        <w:t xml:space="preserve"> und High-Speed</w:t>
      </w:r>
      <w:r w:rsidR="00585F34" w:rsidRPr="009E4F5C">
        <w:rPr>
          <w:rStyle w:val="Kommentarzeichen1"/>
          <w:rFonts w:cs="Arial"/>
          <w:sz w:val="22"/>
          <w:szCs w:val="22"/>
        </w:rPr>
        <w:t xml:space="preserve"> </w:t>
      </w:r>
      <w:r w:rsidRPr="009E4F5C">
        <w:rPr>
          <w:rStyle w:val="Kommentarzeichen1"/>
          <w:rFonts w:cs="Arial"/>
          <w:sz w:val="22"/>
          <w:szCs w:val="22"/>
        </w:rPr>
        <w:t>Signal</w:t>
      </w:r>
      <w:r w:rsidR="00585F34" w:rsidRPr="009E4F5C">
        <w:rPr>
          <w:rStyle w:val="Kommentarzeichen1"/>
          <w:rFonts w:cs="Arial"/>
          <w:sz w:val="22"/>
          <w:szCs w:val="22"/>
        </w:rPr>
        <w:t>-Compl</w:t>
      </w:r>
      <w:r w:rsidR="004E18C3" w:rsidRPr="009E4F5C">
        <w:rPr>
          <w:rStyle w:val="Kommentarzeichen1"/>
          <w:rFonts w:cs="Arial"/>
          <w:sz w:val="22"/>
          <w:szCs w:val="22"/>
        </w:rPr>
        <w:t>i</w:t>
      </w:r>
      <w:r w:rsidR="00585F34" w:rsidRPr="009E4F5C">
        <w:rPr>
          <w:rStyle w:val="Kommentarzeichen1"/>
          <w:rFonts w:cs="Arial"/>
          <w:sz w:val="22"/>
          <w:szCs w:val="22"/>
        </w:rPr>
        <w:t>ance-Test</w:t>
      </w:r>
      <w:r w:rsidR="008D01C3" w:rsidRPr="009E4F5C">
        <w:rPr>
          <w:rStyle w:val="Kommentarzeichen1"/>
          <w:rFonts w:cs="Arial"/>
          <w:sz w:val="22"/>
          <w:szCs w:val="22"/>
        </w:rPr>
        <w:t>s</w:t>
      </w:r>
      <w:r w:rsidR="00585F34" w:rsidRPr="009E4F5C">
        <w:rPr>
          <w:rStyle w:val="Kommentarzeichen1"/>
          <w:rFonts w:cs="Arial"/>
          <w:sz w:val="22"/>
          <w:szCs w:val="22"/>
        </w:rPr>
        <w:t xml:space="preserve"> sowie Design-i</w:t>
      </w:r>
      <w:r w:rsidRPr="009E4F5C">
        <w:rPr>
          <w:rStyle w:val="Kommentarzeichen1"/>
          <w:rFonts w:cs="Arial"/>
          <w:sz w:val="22"/>
          <w:szCs w:val="22"/>
        </w:rPr>
        <w:t xml:space="preserve">n-Services und alle erforderlichen Schulungen umfasst, </w:t>
      </w:r>
      <w:r w:rsidR="001478B3" w:rsidRPr="009E4F5C">
        <w:rPr>
          <w:rStyle w:val="Kommentarzeichen1"/>
          <w:rFonts w:cs="Arial"/>
          <w:sz w:val="22"/>
          <w:szCs w:val="22"/>
        </w:rPr>
        <w:t>die</w:t>
      </w:r>
      <w:r w:rsidRPr="009E4F5C">
        <w:rPr>
          <w:rStyle w:val="Kommentarzeichen1"/>
          <w:rFonts w:cs="Arial"/>
          <w:sz w:val="22"/>
          <w:szCs w:val="22"/>
        </w:rPr>
        <w:t xml:space="preserve"> den Einsatz der Embedded Computer-Technologien von congatec </w:t>
      </w:r>
      <w:r w:rsidR="001478B3" w:rsidRPr="009E4F5C">
        <w:rPr>
          <w:rStyle w:val="Kommentarzeichen1"/>
          <w:rFonts w:cs="Arial"/>
          <w:sz w:val="22"/>
          <w:szCs w:val="22"/>
        </w:rPr>
        <w:t>vereinfachen.</w:t>
      </w:r>
    </w:p>
    <w:p w:rsidR="00540B86" w:rsidRPr="009E4F5C" w:rsidRDefault="00540B86" w:rsidP="00540B86">
      <w:pPr>
        <w:rPr>
          <w:rStyle w:val="Kommentarzeichen1"/>
          <w:rFonts w:cs="Arial"/>
          <w:sz w:val="22"/>
          <w:szCs w:val="22"/>
        </w:rPr>
      </w:pPr>
    </w:p>
    <w:p w:rsidR="00540B86" w:rsidRPr="009E4F5C" w:rsidRDefault="00540B86" w:rsidP="00540B86">
      <w:pPr>
        <w:rPr>
          <w:rStyle w:val="Kommentarzeichen1"/>
          <w:rFonts w:cs="Arial"/>
          <w:b/>
          <w:sz w:val="22"/>
          <w:szCs w:val="22"/>
        </w:rPr>
      </w:pPr>
      <w:r w:rsidRPr="009E4F5C">
        <w:rPr>
          <w:rStyle w:val="Kommentarzeichen1"/>
          <w:rFonts w:cs="Arial"/>
          <w:b/>
          <w:sz w:val="22"/>
          <w:szCs w:val="22"/>
        </w:rPr>
        <w:t>Die Vorteile im Detail</w:t>
      </w:r>
    </w:p>
    <w:p w:rsidR="00540B86" w:rsidRPr="009E4F5C" w:rsidRDefault="00540B86" w:rsidP="00540B86">
      <w:pPr>
        <w:rPr>
          <w:rStyle w:val="Kommentarzeichen1"/>
          <w:rFonts w:cs="Arial"/>
          <w:sz w:val="22"/>
          <w:szCs w:val="22"/>
        </w:rPr>
      </w:pPr>
      <w:r w:rsidRPr="009E4F5C">
        <w:rPr>
          <w:rStyle w:val="Kommentarzeichen1"/>
          <w:rFonts w:cs="Arial"/>
          <w:sz w:val="22"/>
          <w:szCs w:val="22"/>
        </w:rPr>
        <w:t>Basierend auf den neuen stromsparenden High-</w:t>
      </w:r>
      <w:proofErr w:type="spellStart"/>
      <w:r w:rsidRPr="009E4F5C">
        <w:rPr>
          <w:rStyle w:val="Kommentarzeichen1"/>
          <w:rFonts w:cs="Arial"/>
          <w:sz w:val="22"/>
          <w:szCs w:val="22"/>
        </w:rPr>
        <w:t>Density</w:t>
      </w:r>
      <w:proofErr w:type="spellEnd"/>
      <w:r w:rsidRPr="009E4F5C">
        <w:rPr>
          <w:rStyle w:val="Kommentarzeichen1"/>
          <w:rFonts w:cs="Arial"/>
          <w:sz w:val="22"/>
          <w:szCs w:val="22"/>
        </w:rPr>
        <w:t xml:space="preserve"> Intel</w:t>
      </w:r>
      <w:r w:rsidR="00DA4C3D" w:rsidRPr="009E4F5C">
        <w:rPr>
          <w:rStyle w:val="Kommentarzeichen1"/>
          <w:rFonts w:cs="Arial"/>
          <w:sz w:val="22"/>
          <w:szCs w:val="22"/>
          <w:vertAlign w:val="superscript"/>
        </w:rPr>
        <w:t>®</w:t>
      </w:r>
      <w:r w:rsidRPr="009E4F5C">
        <w:rPr>
          <w:rStyle w:val="Kommentarzeichen1"/>
          <w:rFonts w:cs="Arial"/>
          <w:sz w:val="22"/>
          <w:szCs w:val="22"/>
        </w:rPr>
        <w:t xml:space="preserve"> Core</w:t>
      </w:r>
      <w:r w:rsidR="00DA4C3D" w:rsidRPr="009E4F5C">
        <w:rPr>
          <w:rStyle w:val="Kommentarzeichen1"/>
          <w:rFonts w:cs="Arial"/>
          <w:sz w:val="22"/>
          <w:szCs w:val="22"/>
          <w:vertAlign w:val="superscript"/>
        </w:rPr>
        <w:t>®</w:t>
      </w:r>
      <w:r w:rsidRPr="009E4F5C">
        <w:rPr>
          <w:rStyle w:val="Kommentarzeichen1"/>
          <w:rFonts w:cs="Arial"/>
          <w:sz w:val="22"/>
          <w:szCs w:val="22"/>
        </w:rPr>
        <w:t xml:space="preserve"> </w:t>
      </w:r>
      <w:proofErr w:type="spellStart"/>
      <w:r w:rsidRPr="009E4F5C">
        <w:rPr>
          <w:rStyle w:val="Kommentarzeichen1"/>
          <w:rFonts w:cs="Arial"/>
          <w:sz w:val="22"/>
          <w:szCs w:val="22"/>
        </w:rPr>
        <w:t>SoCs</w:t>
      </w:r>
      <w:proofErr w:type="spellEnd"/>
      <w:r w:rsidRPr="009E4F5C">
        <w:rPr>
          <w:rStyle w:val="Kommentarzeichen1"/>
          <w:rFonts w:cs="Arial"/>
          <w:sz w:val="22"/>
          <w:szCs w:val="22"/>
        </w:rPr>
        <w:t xml:space="preserve"> der 11. Generation bieten die neuen Module im Vergleich zu den Vorgängermodellen eine deutlich höhere CPU-</w:t>
      </w:r>
      <w:r w:rsidR="00042A68" w:rsidRPr="009E4F5C">
        <w:rPr>
          <w:rStyle w:val="Kommentarzeichen1"/>
          <w:rFonts w:cs="Arial"/>
          <w:sz w:val="22"/>
          <w:szCs w:val="22"/>
        </w:rPr>
        <w:t>Performance</w:t>
      </w:r>
      <w:r w:rsidRPr="009E4F5C">
        <w:rPr>
          <w:rStyle w:val="Kommentarzeichen1"/>
          <w:rFonts w:cs="Arial"/>
          <w:sz w:val="22"/>
          <w:szCs w:val="22"/>
        </w:rPr>
        <w:t xml:space="preserve"> und eine fast 3-fach höhere GPU-Leistung sowie </w:t>
      </w:r>
      <w:r w:rsidR="00042A68" w:rsidRPr="009E4F5C">
        <w:rPr>
          <w:rStyle w:val="Kommentarzeichen1"/>
          <w:rFonts w:cs="Arial"/>
          <w:sz w:val="22"/>
          <w:szCs w:val="22"/>
        </w:rPr>
        <w:t>State-of-</w:t>
      </w:r>
      <w:proofErr w:type="spellStart"/>
      <w:r w:rsidR="00042A68" w:rsidRPr="009E4F5C">
        <w:rPr>
          <w:rStyle w:val="Kommentarzeichen1"/>
          <w:rFonts w:cs="Arial"/>
          <w:sz w:val="22"/>
          <w:szCs w:val="22"/>
        </w:rPr>
        <w:t>the</w:t>
      </w:r>
      <w:proofErr w:type="spellEnd"/>
      <w:r w:rsidR="00042A68" w:rsidRPr="009E4F5C">
        <w:rPr>
          <w:rStyle w:val="Kommentarzeichen1"/>
          <w:rFonts w:cs="Arial"/>
          <w:sz w:val="22"/>
          <w:szCs w:val="22"/>
        </w:rPr>
        <w:t>-Art</w:t>
      </w:r>
      <w:r w:rsidRPr="009E4F5C">
        <w:rPr>
          <w:rStyle w:val="Kommentarzeichen1"/>
          <w:rFonts w:cs="Arial"/>
          <w:sz w:val="22"/>
          <w:szCs w:val="22"/>
        </w:rPr>
        <w:t xml:space="preserve"> </w:t>
      </w:r>
      <w:proofErr w:type="spellStart"/>
      <w:r w:rsidRPr="009E4F5C">
        <w:rPr>
          <w:rStyle w:val="Kommentarzeichen1"/>
          <w:rFonts w:cs="Arial"/>
          <w:sz w:val="22"/>
          <w:szCs w:val="22"/>
        </w:rPr>
        <w:t>PCIe</w:t>
      </w:r>
      <w:proofErr w:type="spellEnd"/>
      <w:r w:rsidRPr="009E4F5C">
        <w:rPr>
          <w:rStyle w:val="Kommentarzeichen1"/>
          <w:rFonts w:cs="Arial"/>
          <w:sz w:val="22"/>
          <w:szCs w:val="22"/>
        </w:rPr>
        <w:t xml:space="preserve"> Gen4 Unterstützung. </w:t>
      </w:r>
      <w:r w:rsidR="001478B3" w:rsidRPr="009E4F5C">
        <w:rPr>
          <w:rStyle w:val="Kommentarzeichen1"/>
          <w:rFonts w:cs="Arial"/>
          <w:sz w:val="22"/>
          <w:szCs w:val="22"/>
        </w:rPr>
        <w:t>A</w:t>
      </w:r>
      <w:r w:rsidRPr="009E4F5C">
        <w:rPr>
          <w:rStyle w:val="Kommentarzeichen1"/>
          <w:rFonts w:cs="Arial"/>
          <w:sz w:val="22"/>
          <w:szCs w:val="22"/>
        </w:rPr>
        <w:t xml:space="preserve">nspruchsvollste Grafik- und </w:t>
      </w:r>
      <w:r w:rsidR="001478B3" w:rsidRPr="009E4F5C">
        <w:rPr>
          <w:rStyle w:val="Kommentarzeichen1"/>
          <w:rFonts w:cs="Arial"/>
          <w:sz w:val="22"/>
          <w:szCs w:val="22"/>
        </w:rPr>
        <w:t>Datenverarbeitungs</w:t>
      </w:r>
      <w:r w:rsidRPr="009E4F5C">
        <w:rPr>
          <w:rStyle w:val="Kommentarzeichen1"/>
          <w:rFonts w:cs="Arial"/>
          <w:sz w:val="22"/>
          <w:szCs w:val="22"/>
        </w:rPr>
        <w:t xml:space="preserve">-Workloads profitieren von bis zu 4 Kernen, 8 Threads und bis zu 96 </w:t>
      </w:r>
      <w:r w:rsidR="001478B3" w:rsidRPr="009E4F5C">
        <w:rPr>
          <w:rStyle w:val="Kommentarzeichen1"/>
          <w:rFonts w:cs="Arial"/>
          <w:sz w:val="22"/>
          <w:szCs w:val="22"/>
        </w:rPr>
        <w:t>Grafik Execution Units</w:t>
      </w:r>
      <w:r w:rsidRPr="009E4F5C">
        <w:rPr>
          <w:rStyle w:val="Kommentarzeichen1"/>
          <w:rFonts w:cs="Arial"/>
          <w:sz w:val="22"/>
          <w:szCs w:val="22"/>
        </w:rPr>
        <w:t xml:space="preserve"> für massiv</w:t>
      </w:r>
      <w:r w:rsidR="001478B3" w:rsidRPr="009E4F5C">
        <w:rPr>
          <w:rStyle w:val="Kommentarzeichen1"/>
          <w:rFonts w:cs="Arial"/>
          <w:sz w:val="22"/>
          <w:szCs w:val="22"/>
        </w:rPr>
        <w:t>-</w:t>
      </w:r>
      <w:r w:rsidRPr="009E4F5C">
        <w:rPr>
          <w:rStyle w:val="Kommentarzeichen1"/>
          <w:rFonts w:cs="Arial"/>
          <w:sz w:val="22"/>
          <w:szCs w:val="22"/>
        </w:rPr>
        <w:t>parallelen Verarbeitungsdurchsatz in ultra-robuste</w:t>
      </w:r>
      <w:r w:rsidR="001478B3" w:rsidRPr="009E4F5C">
        <w:rPr>
          <w:rStyle w:val="Kommentarzeichen1"/>
          <w:rFonts w:cs="Arial"/>
          <w:sz w:val="22"/>
          <w:szCs w:val="22"/>
        </w:rPr>
        <w:t>r</w:t>
      </w:r>
      <w:r w:rsidRPr="009E4F5C">
        <w:rPr>
          <w:rStyle w:val="Kommentarzeichen1"/>
          <w:rFonts w:cs="Arial"/>
          <w:sz w:val="22"/>
          <w:szCs w:val="22"/>
        </w:rPr>
        <w:t xml:space="preserve"> </w:t>
      </w:r>
      <w:r w:rsidR="001478B3" w:rsidRPr="009E4F5C">
        <w:rPr>
          <w:rStyle w:val="Kommentarzeichen1"/>
          <w:rFonts w:cs="Arial"/>
          <w:sz w:val="22"/>
          <w:szCs w:val="22"/>
        </w:rPr>
        <w:t>Auslegung</w:t>
      </w:r>
      <w:r w:rsidRPr="009E4F5C">
        <w:rPr>
          <w:rStyle w:val="Kommentarzeichen1"/>
          <w:rFonts w:cs="Arial"/>
          <w:sz w:val="22"/>
          <w:szCs w:val="22"/>
        </w:rPr>
        <w:t xml:space="preserve">. Die integrierte Grafik unterstützt nicht nur 8k-Displays oder 4x 4k; sie kann auch als parallele Verarbeitungseinheit für </w:t>
      </w:r>
      <w:proofErr w:type="spellStart"/>
      <w:r w:rsidR="001478B3" w:rsidRPr="009E4F5C">
        <w:rPr>
          <w:rFonts w:cs="Arial"/>
          <w:szCs w:val="22"/>
        </w:rPr>
        <w:t>Convolutional</w:t>
      </w:r>
      <w:proofErr w:type="spellEnd"/>
      <w:r w:rsidR="001478B3" w:rsidRPr="009E4F5C">
        <w:rPr>
          <w:rFonts w:cs="Arial"/>
          <w:szCs w:val="22"/>
        </w:rPr>
        <w:t xml:space="preserve"> </w:t>
      </w:r>
      <w:proofErr w:type="spellStart"/>
      <w:r w:rsidR="001478B3" w:rsidRPr="009E4F5C">
        <w:rPr>
          <w:rFonts w:cs="Arial"/>
          <w:szCs w:val="22"/>
        </w:rPr>
        <w:t>Neural</w:t>
      </w:r>
      <w:proofErr w:type="spellEnd"/>
      <w:r w:rsidR="001478B3" w:rsidRPr="009E4F5C">
        <w:rPr>
          <w:rFonts w:cs="Arial"/>
          <w:szCs w:val="22"/>
        </w:rPr>
        <w:t xml:space="preserve"> </w:t>
      </w:r>
      <w:r w:rsidR="001478B3" w:rsidRPr="009E4F5C">
        <w:rPr>
          <w:rStyle w:val="Kommentarzeichen1"/>
          <w:rFonts w:cs="Arial"/>
          <w:sz w:val="22"/>
          <w:szCs w:val="22"/>
        </w:rPr>
        <w:t>Networks</w:t>
      </w:r>
      <w:r w:rsidRPr="009E4F5C">
        <w:rPr>
          <w:rStyle w:val="Kommentarzeichen1"/>
          <w:rFonts w:cs="Arial"/>
          <w:sz w:val="22"/>
          <w:szCs w:val="22"/>
        </w:rPr>
        <w:t xml:space="preserve"> (CNN) oder als KI- und Deep-Learning-Beschleuniger eingesetzt werden. Die in der CPU integrierte Intel AVX-512-Befehlseinheit mit Unterstützung für </w:t>
      </w:r>
      <w:proofErr w:type="spellStart"/>
      <w:r w:rsidRPr="009E4F5C">
        <w:rPr>
          <w:rStyle w:val="Kommentarzeichen1"/>
          <w:rFonts w:cs="Arial"/>
          <w:sz w:val="22"/>
          <w:szCs w:val="22"/>
        </w:rPr>
        <w:t>Vector</w:t>
      </w:r>
      <w:proofErr w:type="spellEnd"/>
      <w:r w:rsidRPr="009E4F5C">
        <w:rPr>
          <w:rStyle w:val="Kommentarzeichen1"/>
          <w:rFonts w:cs="Arial"/>
          <w:sz w:val="22"/>
          <w:szCs w:val="22"/>
        </w:rPr>
        <w:t xml:space="preserve"> </w:t>
      </w:r>
      <w:proofErr w:type="spellStart"/>
      <w:r w:rsidRPr="009E4F5C">
        <w:rPr>
          <w:rStyle w:val="Kommentarzeichen1"/>
          <w:rFonts w:cs="Arial"/>
          <w:sz w:val="22"/>
          <w:szCs w:val="22"/>
        </w:rPr>
        <w:t>Neural</w:t>
      </w:r>
      <w:proofErr w:type="spellEnd"/>
      <w:r w:rsidRPr="009E4F5C">
        <w:rPr>
          <w:rStyle w:val="Kommentarzeichen1"/>
          <w:rFonts w:cs="Arial"/>
          <w:sz w:val="22"/>
          <w:szCs w:val="22"/>
        </w:rPr>
        <w:t xml:space="preserve"> Network </w:t>
      </w:r>
      <w:proofErr w:type="spellStart"/>
      <w:r w:rsidRPr="009E4F5C">
        <w:rPr>
          <w:rStyle w:val="Kommentarzeichen1"/>
          <w:rFonts w:cs="Arial"/>
          <w:sz w:val="22"/>
          <w:szCs w:val="22"/>
        </w:rPr>
        <w:t>Instructions</w:t>
      </w:r>
      <w:proofErr w:type="spellEnd"/>
      <w:r w:rsidRPr="009E4F5C">
        <w:rPr>
          <w:rStyle w:val="Kommentarzeichen1"/>
          <w:rFonts w:cs="Arial"/>
          <w:sz w:val="22"/>
          <w:szCs w:val="22"/>
        </w:rPr>
        <w:t xml:space="preserve"> (VNNI) ist ein weiteres </w:t>
      </w:r>
      <w:r w:rsidR="00042A68" w:rsidRPr="009E4F5C">
        <w:rPr>
          <w:rStyle w:val="Kommentarzeichen1"/>
          <w:rFonts w:cs="Arial"/>
          <w:sz w:val="22"/>
          <w:szCs w:val="22"/>
        </w:rPr>
        <w:t>Funktionselement der Plattformen</w:t>
      </w:r>
      <w:r w:rsidRPr="009E4F5C">
        <w:rPr>
          <w:rStyle w:val="Kommentarzeichen1"/>
          <w:rFonts w:cs="Arial"/>
          <w:sz w:val="22"/>
          <w:szCs w:val="22"/>
        </w:rPr>
        <w:t xml:space="preserve"> zur Beschleunigung von KI-Anwendungen. Mit dem Intel </w:t>
      </w:r>
      <w:proofErr w:type="spellStart"/>
      <w:r w:rsidRPr="009E4F5C">
        <w:rPr>
          <w:rStyle w:val="Kommentarzeichen1"/>
          <w:rFonts w:cs="Arial"/>
          <w:sz w:val="22"/>
          <w:szCs w:val="22"/>
        </w:rPr>
        <w:t>OpenVINO</w:t>
      </w:r>
      <w:proofErr w:type="spellEnd"/>
      <w:r w:rsidRPr="009E4F5C">
        <w:rPr>
          <w:rStyle w:val="Kommentarzeichen1"/>
          <w:rFonts w:cs="Arial"/>
          <w:sz w:val="22"/>
          <w:szCs w:val="22"/>
        </w:rPr>
        <w:t>™ Software-</w:t>
      </w:r>
      <w:proofErr w:type="spellStart"/>
      <w:r w:rsidRPr="009E4F5C">
        <w:rPr>
          <w:rStyle w:val="Kommentarzeichen1"/>
          <w:rFonts w:cs="Arial"/>
          <w:sz w:val="22"/>
          <w:szCs w:val="22"/>
        </w:rPr>
        <w:t>Toolkit</w:t>
      </w:r>
      <w:proofErr w:type="spellEnd"/>
      <w:r w:rsidRPr="009E4F5C">
        <w:rPr>
          <w:rStyle w:val="Kommentarzeichen1"/>
          <w:rFonts w:cs="Arial"/>
          <w:sz w:val="22"/>
          <w:szCs w:val="22"/>
        </w:rPr>
        <w:t xml:space="preserve">, das optimierte Aufrufe für </w:t>
      </w:r>
      <w:proofErr w:type="spellStart"/>
      <w:r w:rsidRPr="009E4F5C">
        <w:rPr>
          <w:rStyle w:val="Kommentarzeichen1"/>
          <w:rFonts w:cs="Arial"/>
          <w:sz w:val="22"/>
          <w:szCs w:val="22"/>
        </w:rPr>
        <w:t>OpenCV</w:t>
      </w:r>
      <w:proofErr w:type="spellEnd"/>
      <w:r w:rsidRPr="009E4F5C">
        <w:rPr>
          <w:rStyle w:val="Kommentarzeichen1"/>
          <w:rFonts w:cs="Arial"/>
          <w:sz w:val="22"/>
          <w:szCs w:val="22"/>
        </w:rPr>
        <w:t xml:space="preserve">, </w:t>
      </w:r>
      <w:proofErr w:type="spellStart"/>
      <w:r w:rsidRPr="009E4F5C">
        <w:rPr>
          <w:rStyle w:val="Kommentarzeichen1"/>
          <w:rFonts w:cs="Arial"/>
          <w:sz w:val="22"/>
          <w:szCs w:val="22"/>
        </w:rPr>
        <w:t>OpenCL</w:t>
      </w:r>
      <w:proofErr w:type="spellEnd"/>
      <w:r w:rsidRPr="009E4F5C">
        <w:rPr>
          <w:rStyle w:val="Kommentarzeichen1"/>
          <w:rFonts w:cs="Arial"/>
          <w:sz w:val="22"/>
          <w:szCs w:val="22"/>
        </w:rPr>
        <w:t>™-</w:t>
      </w:r>
      <w:proofErr w:type="spellStart"/>
      <w:r w:rsidRPr="009E4F5C">
        <w:rPr>
          <w:rStyle w:val="Kommentarzeichen1"/>
          <w:rFonts w:cs="Arial"/>
          <w:sz w:val="22"/>
          <w:szCs w:val="22"/>
        </w:rPr>
        <w:t>Kernel</w:t>
      </w:r>
      <w:proofErr w:type="spellEnd"/>
      <w:r w:rsidRPr="009E4F5C">
        <w:rPr>
          <w:rStyle w:val="Kommentarzeichen1"/>
          <w:rFonts w:cs="Arial"/>
          <w:sz w:val="22"/>
          <w:szCs w:val="22"/>
        </w:rPr>
        <w:t xml:space="preserve"> und andere Industrie-Tools und -Bibliotheken enthält, können Workloads über CPU-, GPU- und FPGA-Recheneinheiten erweitert werden, u</w:t>
      </w:r>
      <w:r w:rsidR="001478B3" w:rsidRPr="009E4F5C">
        <w:rPr>
          <w:rStyle w:val="Kommentarzeichen1"/>
          <w:rFonts w:cs="Arial"/>
          <w:sz w:val="22"/>
          <w:szCs w:val="22"/>
        </w:rPr>
        <w:t>m KI-Workloads zu beschleunigen –</w:t>
      </w:r>
      <w:r w:rsidRPr="009E4F5C">
        <w:rPr>
          <w:rStyle w:val="Kommentarzeichen1"/>
          <w:rFonts w:cs="Arial"/>
          <w:sz w:val="22"/>
          <w:szCs w:val="22"/>
        </w:rPr>
        <w:t xml:space="preserve"> einschließlich </w:t>
      </w:r>
      <w:r w:rsidR="001478B3" w:rsidRPr="009E4F5C">
        <w:rPr>
          <w:rStyle w:val="Kommentarzeichen1"/>
          <w:rFonts w:cs="Arial"/>
          <w:sz w:val="22"/>
          <w:szCs w:val="22"/>
        </w:rPr>
        <w:t xml:space="preserve">Computer-Vision, Audio </w:t>
      </w:r>
      <w:r w:rsidR="008D01C3" w:rsidRPr="009E4F5C">
        <w:rPr>
          <w:rStyle w:val="Kommentarzeichen1"/>
          <w:rFonts w:cs="Arial"/>
          <w:sz w:val="22"/>
          <w:szCs w:val="22"/>
        </w:rPr>
        <w:t>und</w:t>
      </w:r>
      <w:r w:rsidR="001478B3" w:rsidRPr="009E4F5C">
        <w:rPr>
          <w:rStyle w:val="Kommentarzeichen1"/>
          <w:rFonts w:cs="Arial"/>
          <w:sz w:val="22"/>
          <w:szCs w:val="22"/>
        </w:rPr>
        <w:t xml:space="preserve"> </w:t>
      </w:r>
      <w:r w:rsidRPr="009E4F5C">
        <w:rPr>
          <w:rStyle w:val="Kommentarzeichen1"/>
          <w:rFonts w:cs="Arial"/>
          <w:sz w:val="22"/>
          <w:szCs w:val="22"/>
        </w:rPr>
        <w:t>Spracherkennungssysteme</w:t>
      </w:r>
      <w:r w:rsidR="008D01C3" w:rsidRPr="009E4F5C">
        <w:rPr>
          <w:rStyle w:val="Kommentarzeichen1"/>
          <w:rFonts w:cs="Arial"/>
          <w:sz w:val="22"/>
          <w:szCs w:val="22"/>
        </w:rPr>
        <w:t>n</w:t>
      </w:r>
      <w:r w:rsidRPr="009E4F5C">
        <w:rPr>
          <w:rStyle w:val="Kommentarzeichen1"/>
          <w:rFonts w:cs="Arial"/>
          <w:sz w:val="22"/>
          <w:szCs w:val="22"/>
        </w:rPr>
        <w:t>.</w:t>
      </w:r>
    </w:p>
    <w:p w:rsidR="00540B86" w:rsidRPr="009E4F5C" w:rsidRDefault="00540B86" w:rsidP="00540B86">
      <w:pPr>
        <w:rPr>
          <w:rStyle w:val="Kommentarzeichen1"/>
          <w:rFonts w:cs="Arial"/>
          <w:sz w:val="22"/>
          <w:szCs w:val="22"/>
        </w:rPr>
      </w:pPr>
    </w:p>
    <w:p w:rsidR="00540B86" w:rsidRPr="009E4F5C" w:rsidRDefault="00540B86" w:rsidP="00540B86">
      <w:pPr>
        <w:rPr>
          <w:rStyle w:val="Kommentarzeichen1"/>
          <w:rFonts w:cs="Arial"/>
          <w:sz w:val="22"/>
          <w:szCs w:val="22"/>
        </w:rPr>
      </w:pPr>
      <w:r w:rsidRPr="009E4F5C">
        <w:rPr>
          <w:rStyle w:val="Kommentarzeichen1"/>
          <w:rFonts w:cs="Arial"/>
          <w:sz w:val="22"/>
          <w:szCs w:val="22"/>
        </w:rPr>
        <w:t xml:space="preserve">Die TDP ist von 12 W bis 28 W skalierbar und ermöglicht vollständig geschlossene Systemdesigns mit </w:t>
      </w:r>
      <w:r w:rsidR="005C0953" w:rsidRPr="009E4F5C">
        <w:rPr>
          <w:rStyle w:val="Kommentarzeichen1"/>
          <w:rFonts w:cs="Arial"/>
          <w:sz w:val="22"/>
          <w:szCs w:val="22"/>
        </w:rPr>
        <w:t xml:space="preserve">rein </w:t>
      </w:r>
      <w:r w:rsidRPr="009E4F5C">
        <w:rPr>
          <w:rStyle w:val="Kommentarzeichen1"/>
          <w:rFonts w:cs="Arial"/>
          <w:sz w:val="22"/>
          <w:szCs w:val="22"/>
        </w:rPr>
        <w:t xml:space="preserve">passiver Kühlung. Die beeindruckende </w:t>
      </w:r>
      <w:r w:rsidR="008D01C3" w:rsidRPr="009E4F5C">
        <w:rPr>
          <w:rStyle w:val="Kommentarzeichen1"/>
          <w:rFonts w:cs="Arial"/>
          <w:sz w:val="22"/>
          <w:szCs w:val="22"/>
        </w:rPr>
        <w:t>Performance</w:t>
      </w:r>
      <w:r w:rsidRPr="009E4F5C">
        <w:rPr>
          <w:rStyle w:val="Kommentarzeichen1"/>
          <w:rFonts w:cs="Arial"/>
          <w:sz w:val="22"/>
          <w:szCs w:val="22"/>
        </w:rPr>
        <w:t xml:space="preserve"> des ultra-</w:t>
      </w:r>
      <w:r w:rsidRPr="009E4F5C">
        <w:rPr>
          <w:rStyle w:val="Kommentarzeichen1"/>
          <w:rFonts w:cs="Arial"/>
          <w:sz w:val="22"/>
          <w:szCs w:val="22"/>
        </w:rPr>
        <w:lastRenderedPageBreak/>
        <w:t xml:space="preserve">robusten COM Express Typ 6 Moduls </w:t>
      </w:r>
      <w:r w:rsidR="00AC3B91">
        <w:rPr>
          <w:rStyle w:val="Kommentarzeichen1"/>
          <w:rFonts w:cs="Arial"/>
          <w:sz w:val="22"/>
          <w:szCs w:val="22"/>
        </w:rPr>
        <w:t xml:space="preserve">conga-TC570r </w:t>
      </w:r>
      <w:r w:rsidR="006E2433" w:rsidRPr="009E4F5C">
        <w:rPr>
          <w:rStyle w:val="Kommentarzeichen1"/>
          <w:rFonts w:cs="Arial"/>
          <w:sz w:val="22"/>
          <w:szCs w:val="22"/>
        </w:rPr>
        <w:t xml:space="preserve">ist </w:t>
      </w:r>
      <w:r w:rsidRPr="009E4F5C">
        <w:rPr>
          <w:rStyle w:val="Kommentarzeichen1"/>
          <w:rFonts w:cs="Arial"/>
          <w:sz w:val="22"/>
          <w:szCs w:val="22"/>
        </w:rPr>
        <w:t>in einem echtzeitfähigen Design verfüg</w:t>
      </w:r>
      <w:r w:rsidR="008D01C3" w:rsidRPr="009E4F5C">
        <w:rPr>
          <w:rStyle w:val="Kommentarzeichen1"/>
          <w:rFonts w:cs="Arial"/>
          <w:sz w:val="22"/>
          <w:szCs w:val="22"/>
        </w:rPr>
        <w:t xml:space="preserve">bar und unterstützt </w:t>
      </w:r>
      <w:r w:rsidRPr="009E4F5C">
        <w:rPr>
          <w:rStyle w:val="Kommentarzeichen1"/>
          <w:rFonts w:cs="Arial"/>
          <w:sz w:val="22"/>
          <w:szCs w:val="22"/>
        </w:rPr>
        <w:t>Time Sensitive Networking (TSN), Time Coordinated Computing (TCC) und den Hypervisor von RTS Real</w:t>
      </w:r>
      <w:r w:rsidR="00D11BF2">
        <w:rPr>
          <w:rStyle w:val="Kommentarzeichen1"/>
          <w:rFonts w:cs="Arial"/>
          <w:sz w:val="22"/>
          <w:szCs w:val="22"/>
        </w:rPr>
        <w:t>-T</w:t>
      </w:r>
      <w:r w:rsidRPr="009E4F5C">
        <w:rPr>
          <w:rStyle w:val="Kommentarzeichen1"/>
          <w:rFonts w:cs="Arial"/>
          <w:sz w:val="22"/>
          <w:szCs w:val="22"/>
        </w:rPr>
        <w:t>ime Systems für den Einsatz von virtuellen Maschinen und die Konsolidierung von Workloa</w:t>
      </w:r>
      <w:r w:rsidR="00042A68" w:rsidRPr="009E4F5C">
        <w:rPr>
          <w:rStyle w:val="Kommentarzeichen1"/>
          <w:rFonts w:cs="Arial"/>
          <w:sz w:val="22"/>
          <w:szCs w:val="22"/>
        </w:rPr>
        <w:t>ds in Edge-Computing-Szenarien.</w:t>
      </w:r>
    </w:p>
    <w:p w:rsidR="00540B86" w:rsidRPr="009E4F5C" w:rsidRDefault="00540B86" w:rsidP="00540B86">
      <w:pPr>
        <w:rPr>
          <w:rStyle w:val="Kommentarzeichen1"/>
          <w:rFonts w:cs="Arial"/>
          <w:sz w:val="22"/>
          <w:szCs w:val="22"/>
        </w:rPr>
      </w:pPr>
    </w:p>
    <w:p w:rsidR="00540B86" w:rsidRPr="009E4F5C" w:rsidRDefault="00540B86" w:rsidP="00540B86">
      <w:pPr>
        <w:rPr>
          <w:rStyle w:val="Kommentarzeichen1"/>
          <w:rFonts w:cs="Arial"/>
          <w:sz w:val="22"/>
          <w:szCs w:val="22"/>
        </w:rPr>
      </w:pPr>
      <w:r w:rsidRPr="009E4F5C">
        <w:rPr>
          <w:rStyle w:val="Kommentarzeichen1"/>
          <w:rFonts w:cs="Arial"/>
          <w:sz w:val="22"/>
          <w:szCs w:val="22"/>
        </w:rPr>
        <w:t xml:space="preserve">Die ultrarobusten COM Express Compact Type 6 </w:t>
      </w:r>
      <w:r w:rsidR="008D01C3" w:rsidRPr="009E4F5C">
        <w:rPr>
          <w:rStyle w:val="Kommentarzeichen1"/>
          <w:rFonts w:cs="Arial"/>
          <w:sz w:val="22"/>
          <w:szCs w:val="22"/>
        </w:rPr>
        <w:t xml:space="preserve">Module mit </w:t>
      </w:r>
      <w:r w:rsidRPr="009E4F5C">
        <w:rPr>
          <w:rStyle w:val="Kommentarzeichen1"/>
          <w:rFonts w:cs="Arial"/>
          <w:sz w:val="22"/>
          <w:szCs w:val="22"/>
        </w:rPr>
        <w:t>Intel</w:t>
      </w:r>
      <w:r w:rsidR="00DA4C3D" w:rsidRPr="009E4F5C">
        <w:rPr>
          <w:rStyle w:val="Kommentarzeichen1"/>
          <w:rFonts w:cs="Arial"/>
          <w:sz w:val="22"/>
          <w:szCs w:val="22"/>
          <w:vertAlign w:val="superscript"/>
        </w:rPr>
        <w:t>®</w:t>
      </w:r>
      <w:r w:rsidRPr="009E4F5C">
        <w:rPr>
          <w:rStyle w:val="Kommentarzeichen1"/>
          <w:rFonts w:cs="Arial"/>
          <w:sz w:val="22"/>
          <w:szCs w:val="22"/>
        </w:rPr>
        <w:t xml:space="preserve"> Core</w:t>
      </w:r>
      <w:r w:rsidR="00DA4C3D" w:rsidRPr="009E4F5C">
        <w:rPr>
          <w:rStyle w:val="Kommentarzeichen1"/>
          <w:rFonts w:cs="Arial"/>
          <w:sz w:val="22"/>
          <w:szCs w:val="22"/>
          <w:vertAlign w:val="superscript"/>
        </w:rPr>
        <w:t>®</w:t>
      </w:r>
      <w:r w:rsidRPr="009E4F5C">
        <w:rPr>
          <w:rStyle w:val="Kommentarzeichen1"/>
          <w:rFonts w:cs="Arial"/>
          <w:sz w:val="22"/>
          <w:szCs w:val="22"/>
        </w:rPr>
        <w:t xml:space="preserve"> </w:t>
      </w:r>
      <w:r w:rsidR="008D01C3" w:rsidRPr="009E4F5C">
        <w:rPr>
          <w:rStyle w:val="Kommentarzeichen1"/>
          <w:rFonts w:cs="Arial"/>
          <w:sz w:val="22"/>
          <w:szCs w:val="22"/>
        </w:rPr>
        <w:t xml:space="preserve">Prozessoren </w:t>
      </w:r>
      <w:r w:rsidR="00707ECC" w:rsidRPr="009E4F5C">
        <w:rPr>
          <w:rStyle w:val="Kommentarzeichen1"/>
          <w:rFonts w:cs="Arial"/>
          <w:sz w:val="22"/>
          <w:szCs w:val="22"/>
        </w:rPr>
        <w:t xml:space="preserve">der 11. Generation </w:t>
      </w:r>
      <w:r w:rsidRPr="009E4F5C">
        <w:rPr>
          <w:rStyle w:val="Kommentarzeichen1"/>
          <w:rFonts w:cs="Arial"/>
          <w:sz w:val="22"/>
          <w:szCs w:val="22"/>
        </w:rPr>
        <w:t>(Codename Tiger Lake) sind in den folgenden Standardkonfigurationen erhältlich</w:t>
      </w:r>
      <w:r w:rsidR="008D01C3" w:rsidRPr="009E4F5C">
        <w:rPr>
          <w:rStyle w:val="Kommentarzeichen1"/>
          <w:rFonts w:cs="Arial"/>
          <w:sz w:val="22"/>
          <w:szCs w:val="22"/>
        </w:rPr>
        <w:t>.</w:t>
      </w:r>
      <w:r w:rsidRPr="009E4F5C">
        <w:rPr>
          <w:rStyle w:val="Kommentarzeichen1"/>
          <w:rFonts w:cs="Arial"/>
          <w:sz w:val="22"/>
          <w:szCs w:val="22"/>
        </w:rPr>
        <w:t xml:space="preserve"> Anpassung</w:t>
      </w:r>
      <w:r w:rsidR="00D11BF2">
        <w:rPr>
          <w:rStyle w:val="Kommentarzeichen1"/>
          <w:rFonts w:cs="Arial"/>
          <w:sz w:val="22"/>
          <w:szCs w:val="22"/>
        </w:rPr>
        <w:t>en</w:t>
      </w:r>
      <w:r w:rsidR="008D01C3" w:rsidRPr="009E4F5C">
        <w:rPr>
          <w:rStyle w:val="Kommentarzeichen1"/>
          <w:rFonts w:cs="Arial"/>
          <w:sz w:val="22"/>
          <w:szCs w:val="22"/>
        </w:rPr>
        <w:t xml:space="preserve"> sind</w:t>
      </w:r>
      <w:r w:rsidRPr="009E4F5C">
        <w:rPr>
          <w:rStyle w:val="Kommentarzeichen1"/>
          <w:rFonts w:cs="Arial"/>
          <w:sz w:val="22"/>
          <w:szCs w:val="22"/>
        </w:rPr>
        <w:t xml:space="preserve"> auf Anfrage</w:t>
      </w:r>
      <w:r w:rsidR="008D01C3" w:rsidRPr="009E4F5C">
        <w:rPr>
          <w:rStyle w:val="Kommentarzeichen1"/>
          <w:rFonts w:cs="Arial"/>
          <w:sz w:val="22"/>
          <w:szCs w:val="22"/>
        </w:rPr>
        <w:t xml:space="preserve"> möglich.</w:t>
      </w:r>
    </w:p>
    <w:p w:rsidR="00540B86" w:rsidRPr="009E4F5C" w:rsidRDefault="00540B86" w:rsidP="00540B86">
      <w:pPr>
        <w:rPr>
          <w:rStyle w:val="Kommentarzeichen1"/>
          <w:rFonts w:cs="Arial"/>
          <w:sz w:val="22"/>
          <w:szCs w:val="22"/>
        </w:rPr>
      </w:pPr>
    </w:p>
    <w:tbl>
      <w:tblPr>
        <w:tblW w:w="8708" w:type="dxa"/>
        <w:tblLayout w:type="fixed"/>
        <w:tblLook w:val="04A0"/>
      </w:tblPr>
      <w:tblGrid>
        <w:gridCol w:w="250"/>
        <w:gridCol w:w="2324"/>
        <w:gridCol w:w="283"/>
        <w:gridCol w:w="964"/>
        <w:gridCol w:w="236"/>
        <w:gridCol w:w="2005"/>
        <w:gridCol w:w="236"/>
        <w:gridCol w:w="794"/>
        <w:gridCol w:w="1380"/>
        <w:gridCol w:w="236"/>
      </w:tblGrid>
      <w:tr w:rsidR="00540B86" w:rsidRPr="009E4F5C" w:rsidTr="00540B86">
        <w:trPr>
          <w:trHeight w:val="680"/>
        </w:trPr>
        <w:tc>
          <w:tcPr>
            <w:tcW w:w="250" w:type="dxa"/>
            <w:vAlign w:val="center"/>
          </w:tcPr>
          <w:p w:rsidR="00540B86" w:rsidRPr="009E4F5C" w:rsidRDefault="00540B86" w:rsidP="00540B86">
            <w:pPr>
              <w:spacing w:line="240" w:lineRule="auto"/>
              <w:jc w:val="center"/>
              <w:rPr>
                <w:rFonts w:cs="Arial"/>
                <w:b/>
                <w:bCs/>
                <w:color w:val="262626"/>
                <w:sz w:val="18"/>
                <w:szCs w:val="18"/>
                <w:lang w:eastAsia="de-DE"/>
              </w:rPr>
            </w:pPr>
          </w:p>
        </w:tc>
        <w:tc>
          <w:tcPr>
            <w:tcW w:w="2324" w:type="dxa"/>
            <w:tcBorders>
              <w:bottom w:val="single" w:sz="4" w:space="0" w:color="auto"/>
            </w:tcBorders>
          </w:tcPr>
          <w:p w:rsidR="00540B86" w:rsidRPr="009E4F5C" w:rsidRDefault="00540B86" w:rsidP="00540B86">
            <w:pPr>
              <w:spacing w:line="240" w:lineRule="auto"/>
              <w:jc w:val="center"/>
              <w:rPr>
                <w:rFonts w:cs="Arial"/>
                <w:b/>
                <w:bCs/>
                <w:color w:val="262626"/>
                <w:sz w:val="18"/>
                <w:szCs w:val="18"/>
                <w:lang w:eastAsia="de-DE"/>
              </w:rPr>
            </w:pPr>
            <w:r w:rsidRPr="009E4F5C">
              <w:rPr>
                <w:rFonts w:cs="Arial"/>
                <w:b/>
                <w:bCs/>
                <w:color w:val="262626" w:themeColor="text1" w:themeTint="D9"/>
                <w:sz w:val="18"/>
                <w:szCs w:val="18"/>
                <w:lang w:eastAsia="de-DE"/>
              </w:rPr>
              <w:t>Prozessor</w:t>
            </w:r>
          </w:p>
        </w:tc>
        <w:tc>
          <w:tcPr>
            <w:tcW w:w="283" w:type="dxa"/>
          </w:tcPr>
          <w:p w:rsidR="00540B86" w:rsidRPr="009E4F5C" w:rsidRDefault="00540B86" w:rsidP="00540B86">
            <w:pPr>
              <w:spacing w:line="240" w:lineRule="auto"/>
              <w:jc w:val="center"/>
              <w:rPr>
                <w:rFonts w:cs="Arial"/>
                <w:b/>
                <w:bCs/>
                <w:color w:val="262626"/>
                <w:sz w:val="18"/>
                <w:szCs w:val="18"/>
                <w:lang w:eastAsia="de-DE"/>
              </w:rPr>
            </w:pPr>
          </w:p>
        </w:tc>
        <w:tc>
          <w:tcPr>
            <w:tcW w:w="964" w:type="dxa"/>
            <w:tcBorders>
              <w:bottom w:val="single" w:sz="4" w:space="0" w:color="auto"/>
            </w:tcBorders>
          </w:tcPr>
          <w:p w:rsidR="00540B86" w:rsidRPr="009E4F5C" w:rsidRDefault="00540B86" w:rsidP="00540B86">
            <w:pPr>
              <w:spacing w:line="240" w:lineRule="auto"/>
              <w:jc w:val="center"/>
              <w:rPr>
                <w:rFonts w:cs="Arial"/>
                <w:b/>
                <w:bCs/>
                <w:color w:val="262626"/>
                <w:sz w:val="18"/>
                <w:szCs w:val="18"/>
                <w:lang w:eastAsia="de-DE"/>
              </w:rPr>
            </w:pPr>
            <w:r w:rsidRPr="009E4F5C">
              <w:rPr>
                <w:rFonts w:cs="Arial"/>
                <w:b/>
                <w:bCs/>
                <w:color w:val="262626"/>
                <w:sz w:val="18"/>
                <w:szCs w:val="18"/>
                <w:lang w:eastAsia="de-DE"/>
              </w:rPr>
              <w:t>Cores/</w:t>
            </w:r>
            <w:r w:rsidRPr="009E4F5C">
              <w:rPr>
                <w:rFonts w:cs="Arial"/>
                <w:b/>
                <w:bCs/>
                <w:color w:val="262626"/>
                <w:sz w:val="18"/>
                <w:szCs w:val="18"/>
                <w:lang w:eastAsia="de-DE"/>
              </w:rPr>
              <w:br/>
              <w:t>Threads</w:t>
            </w:r>
          </w:p>
        </w:tc>
        <w:tc>
          <w:tcPr>
            <w:tcW w:w="236" w:type="dxa"/>
          </w:tcPr>
          <w:p w:rsidR="00540B86" w:rsidRPr="009E4F5C" w:rsidRDefault="00540B86" w:rsidP="00540B86">
            <w:pPr>
              <w:spacing w:line="240" w:lineRule="auto"/>
              <w:jc w:val="center"/>
              <w:rPr>
                <w:rFonts w:cs="Arial"/>
                <w:b/>
                <w:bCs/>
                <w:color w:val="262626"/>
                <w:sz w:val="18"/>
                <w:szCs w:val="18"/>
                <w:lang w:eastAsia="de-DE"/>
              </w:rPr>
            </w:pPr>
          </w:p>
        </w:tc>
        <w:tc>
          <w:tcPr>
            <w:tcW w:w="2005" w:type="dxa"/>
            <w:tcBorders>
              <w:bottom w:val="single" w:sz="4" w:space="0" w:color="auto"/>
            </w:tcBorders>
          </w:tcPr>
          <w:p w:rsidR="00540B86" w:rsidRPr="009E4F5C" w:rsidRDefault="00540B86" w:rsidP="00540B86">
            <w:pPr>
              <w:spacing w:line="240" w:lineRule="auto"/>
              <w:jc w:val="center"/>
              <w:rPr>
                <w:rFonts w:cs="Arial"/>
                <w:b/>
                <w:bCs/>
                <w:color w:val="262626"/>
                <w:sz w:val="18"/>
                <w:szCs w:val="18"/>
                <w:lang w:eastAsia="de-DE"/>
              </w:rPr>
            </w:pPr>
            <w:r w:rsidRPr="009E4F5C">
              <w:rPr>
                <w:rFonts w:cs="Arial"/>
                <w:b/>
                <w:bCs/>
                <w:color w:val="262626"/>
                <w:sz w:val="18"/>
                <w:szCs w:val="18"/>
                <w:lang w:eastAsia="de-DE"/>
              </w:rPr>
              <w:t xml:space="preserve">Frequenz bei 28/15/12W TDP, </w:t>
            </w:r>
            <w:r w:rsidRPr="009E4F5C">
              <w:rPr>
                <w:rFonts w:cs="Arial"/>
                <w:b/>
                <w:bCs/>
                <w:color w:val="262626"/>
                <w:sz w:val="18"/>
                <w:szCs w:val="18"/>
                <w:lang w:eastAsia="de-DE"/>
              </w:rPr>
              <w:br/>
              <w:t>(Max Turbo) [GHz]</w:t>
            </w:r>
          </w:p>
        </w:tc>
        <w:tc>
          <w:tcPr>
            <w:tcW w:w="236" w:type="dxa"/>
          </w:tcPr>
          <w:p w:rsidR="00540B86" w:rsidRPr="009E4F5C" w:rsidRDefault="00540B86" w:rsidP="00540B86">
            <w:pPr>
              <w:spacing w:line="240" w:lineRule="auto"/>
              <w:jc w:val="center"/>
              <w:rPr>
                <w:rFonts w:cs="Arial"/>
                <w:b/>
                <w:bCs/>
                <w:color w:val="262626"/>
                <w:sz w:val="18"/>
                <w:szCs w:val="18"/>
                <w:lang w:eastAsia="de-DE"/>
              </w:rPr>
            </w:pPr>
          </w:p>
        </w:tc>
        <w:tc>
          <w:tcPr>
            <w:tcW w:w="794" w:type="dxa"/>
            <w:tcBorders>
              <w:bottom w:val="single" w:sz="4" w:space="0" w:color="auto"/>
            </w:tcBorders>
          </w:tcPr>
          <w:p w:rsidR="00540B86" w:rsidRPr="009E4F5C" w:rsidRDefault="00540B86" w:rsidP="00540B86">
            <w:pPr>
              <w:spacing w:line="240" w:lineRule="auto"/>
              <w:jc w:val="center"/>
              <w:rPr>
                <w:rFonts w:cs="Arial"/>
                <w:b/>
                <w:bCs/>
                <w:color w:val="262626"/>
                <w:sz w:val="18"/>
                <w:szCs w:val="18"/>
                <w:lang w:eastAsia="de-DE"/>
              </w:rPr>
            </w:pPr>
            <w:r w:rsidRPr="009E4F5C">
              <w:rPr>
                <w:rFonts w:cs="Arial"/>
                <w:b/>
                <w:bCs/>
                <w:color w:val="262626"/>
                <w:sz w:val="18"/>
                <w:szCs w:val="18"/>
                <w:lang w:eastAsia="de-DE"/>
              </w:rPr>
              <w:t>Cache [MB]</w:t>
            </w:r>
          </w:p>
        </w:tc>
        <w:tc>
          <w:tcPr>
            <w:tcW w:w="1380" w:type="dxa"/>
            <w:tcBorders>
              <w:bottom w:val="single" w:sz="4" w:space="0" w:color="auto"/>
            </w:tcBorders>
          </w:tcPr>
          <w:p w:rsidR="00540B86" w:rsidRPr="009E4F5C" w:rsidRDefault="00540B86" w:rsidP="00540B86">
            <w:pPr>
              <w:spacing w:line="240" w:lineRule="auto"/>
              <w:jc w:val="center"/>
              <w:rPr>
                <w:rFonts w:cs="Arial"/>
                <w:b/>
                <w:bCs/>
                <w:color w:val="262626"/>
                <w:sz w:val="18"/>
                <w:szCs w:val="18"/>
                <w:lang w:eastAsia="de-DE"/>
              </w:rPr>
            </w:pPr>
            <w:r w:rsidRPr="009E4F5C">
              <w:rPr>
                <w:rFonts w:cs="Arial"/>
                <w:b/>
                <w:bCs/>
                <w:color w:val="262626"/>
                <w:sz w:val="18"/>
                <w:szCs w:val="18"/>
                <w:lang w:eastAsia="de-DE"/>
              </w:rPr>
              <w:t>Grafik [Execution Units]</w:t>
            </w:r>
          </w:p>
        </w:tc>
        <w:tc>
          <w:tcPr>
            <w:tcW w:w="236" w:type="dxa"/>
          </w:tcPr>
          <w:p w:rsidR="00540B86" w:rsidRPr="009E4F5C" w:rsidRDefault="00540B86" w:rsidP="00540B86">
            <w:pPr>
              <w:spacing w:line="240" w:lineRule="auto"/>
              <w:jc w:val="center"/>
              <w:rPr>
                <w:rFonts w:cs="Arial"/>
                <w:b/>
                <w:bCs/>
                <w:color w:val="262626"/>
                <w:sz w:val="18"/>
                <w:szCs w:val="18"/>
                <w:lang w:eastAsia="de-DE"/>
              </w:rPr>
            </w:pPr>
          </w:p>
        </w:tc>
      </w:tr>
      <w:tr w:rsidR="00540B86" w:rsidRPr="009E4F5C" w:rsidTr="00540B86">
        <w:trPr>
          <w:trHeight w:val="340"/>
        </w:trPr>
        <w:tc>
          <w:tcPr>
            <w:tcW w:w="250" w:type="dxa"/>
            <w:vAlign w:val="center"/>
          </w:tcPr>
          <w:p w:rsidR="00540B86" w:rsidRPr="009E4F5C" w:rsidRDefault="00540B86" w:rsidP="00540B86">
            <w:pPr>
              <w:spacing w:line="276" w:lineRule="auto"/>
              <w:rPr>
                <w:rFonts w:cs="Arial"/>
                <w:sz w:val="18"/>
                <w:szCs w:val="18"/>
              </w:rPr>
            </w:pPr>
          </w:p>
        </w:tc>
        <w:tc>
          <w:tcPr>
            <w:tcW w:w="2324" w:type="dxa"/>
            <w:tcBorders>
              <w:top w:val="single" w:sz="4" w:space="0" w:color="auto"/>
              <w:bottom w:val="single" w:sz="4" w:space="0" w:color="auto"/>
            </w:tcBorders>
            <w:vAlign w:val="center"/>
          </w:tcPr>
          <w:p w:rsidR="00540B86" w:rsidRPr="009E4F5C" w:rsidRDefault="00540B86" w:rsidP="00540B86">
            <w:pPr>
              <w:spacing w:line="276" w:lineRule="auto"/>
              <w:rPr>
                <w:rFonts w:cs="Arial"/>
                <w:sz w:val="18"/>
                <w:szCs w:val="18"/>
              </w:rPr>
            </w:pPr>
            <w:r w:rsidRPr="009E4F5C">
              <w:rPr>
                <w:rFonts w:cs="Arial"/>
                <w:bCs/>
                <w:color w:val="262626"/>
                <w:sz w:val="18"/>
                <w:szCs w:val="18"/>
                <w:lang w:eastAsia="de-DE"/>
              </w:rPr>
              <w:t>Intel</w:t>
            </w:r>
            <w:r w:rsidR="00DA4C3D" w:rsidRPr="009E4F5C">
              <w:rPr>
                <w:rFonts w:cs="Arial"/>
                <w:bCs/>
                <w:color w:val="262626"/>
                <w:sz w:val="18"/>
                <w:szCs w:val="18"/>
                <w:vertAlign w:val="superscript"/>
                <w:lang w:eastAsia="de-DE"/>
              </w:rPr>
              <w:t>®</w:t>
            </w:r>
            <w:r w:rsidRPr="009E4F5C">
              <w:rPr>
                <w:rFonts w:cs="Arial"/>
                <w:bCs/>
                <w:color w:val="262626"/>
                <w:sz w:val="18"/>
                <w:szCs w:val="18"/>
                <w:lang w:eastAsia="de-DE"/>
              </w:rPr>
              <w:t xml:space="preserve"> Core™ </w:t>
            </w:r>
            <w:r w:rsidRPr="009E4F5C">
              <w:rPr>
                <w:rFonts w:cs="Arial"/>
                <w:sz w:val="18"/>
                <w:szCs w:val="18"/>
              </w:rPr>
              <w:t>i7-1185GRE</w:t>
            </w:r>
          </w:p>
        </w:tc>
        <w:tc>
          <w:tcPr>
            <w:tcW w:w="283" w:type="dxa"/>
            <w:vAlign w:val="center"/>
          </w:tcPr>
          <w:p w:rsidR="00540B86" w:rsidRPr="009E4F5C" w:rsidRDefault="00540B86" w:rsidP="00540B86">
            <w:pPr>
              <w:spacing w:line="276" w:lineRule="auto"/>
              <w:rPr>
                <w:rFonts w:cs="Arial"/>
                <w:sz w:val="18"/>
                <w:szCs w:val="18"/>
              </w:rPr>
            </w:pPr>
          </w:p>
        </w:tc>
        <w:tc>
          <w:tcPr>
            <w:tcW w:w="964"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sz w:val="18"/>
                <w:szCs w:val="18"/>
              </w:rPr>
            </w:pPr>
            <w:r w:rsidRPr="009E4F5C">
              <w:rPr>
                <w:rFonts w:cs="Arial"/>
                <w:sz w:val="18"/>
                <w:szCs w:val="18"/>
              </w:rPr>
              <w:t>4/8</w:t>
            </w:r>
          </w:p>
        </w:tc>
        <w:tc>
          <w:tcPr>
            <w:tcW w:w="236" w:type="dxa"/>
            <w:vAlign w:val="center"/>
          </w:tcPr>
          <w:p w:rsidR="00540B86" w:rsidRPr="009E4F5C" w:rsidRDefault="00540B86" w:rsidP="00540B86">
            <w:pPr>
              <w:spacing w:line="276" w:lineRule="auto"/>
              <w:jc w:val="center"/>
              <w:rPr>
                <w:rFonts w:cs="Arial"/>
                <w:sz w:val="18"/>
                <w:szCs w:val="18"/>
              </w:rPr>
            </w:pPr>
          </w:p>
        </w:tc>
        <w:tc>
          <w:tcPr>
            <w:tcW w:w="2005"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sz w:val="18"/>
                <w:szCs w:val="18"/>
              </w:rPr>
            </w:pPr>
            <w:r w:rsidRPr="009E4F5C">
              <w:rPr>
                <w:rFonts w:cs="Arial"/>
                <w:sz w:val="18"/>
                <w:szCs w:val="18"/>
              </w:rPr>
              <w:t>2,8/1,8/1,2 (4,4)</w:t>
            </w:r>
          </w:p>
        </w:tc>
        <w:tc>
          <w:tcPr>
            <w:tcW w:w="236" w:type="dxa"/>
            <w:vAlign w:val="center"/>
          </w:tcPr>
          <w:p w:rsidR="00540B86" w:rsidRPr="009E4F5C" w:rsidRDefault="00540B86" w:rsidP="00540B86">
            <w:pPr>
              <w:spacing w:line="276" w:lineRule="auto"/>
              <w:jc w:val="center"/>
              <w:rPr>
                <w:rFonts w:cs="Arial"/>
                <w:sz w:val="18"/>
                <w:szCs w:val="18"/>
              </w:rPr>
            </w:pPr>
          </w:p>
        </w:tc>
        <w:tc>
          <w:tcPr>
            <w:tcW w:w="794"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sz w:val="18"/>
                <w:szCs w:val="18"/>
              </w:rPr>
            </w:pPr>
            <w:r w:rsidRPr="009E4F5C">
              <w:rPr>
                <w:rFonts w:cs="Arial"/>
                <w:sz w:val="18"/>
                <w:szCs w:val="18"/>
              </w:rPr>
              <w:t>12</w:t>
            </w:r>
          </w:p>
        </w:tc>
        <w:tc>
          <w:tcPr>
            <w:tcW w:w="1380"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sz w:val="18"/>
                <w:szCs w:val="18"/>
              </w:rPr>
            </w:pPr>
            <w:r w:rsidRPr="009E4F5C">
              <w:rPr>
                <w:rFonts w:cs="Arial"/>
                <w:sz w:val="18"/>
                <w:szCs w:val="18"/>
              </w:rPr>
              <w:t>96 EU</w:t>
            </w:r>
          </w:p>
        </w:tc>
        <w:tc>
          <w:tcPr>
            <w:tcW w:w="236" w:type="dxa"/>
            <w:vAlign w:val="center"/>
          </w:tcPr>
          <w:p w:rsidR="00540B86" w:rsidRPr="009E4F5C" w:rsidRDefault="00540B86" w:rsidP="00540B86">
            <w:pPr>
              <w:spacing w:line="276" w:lineRule="auto"/>
              <w:jc w:val="center"/>
              <w:rPr>
                <w:rFonts w:cs="Arial"/>
                <w:sz w:val="18"/>
                <w:szCs w:val="18"/>
              </w:rPr>
            </w:pPr>
          </w:p>
        </w:tc>
      </w:tr>
      <w:tr w:rsidR="00540B86" w:rsidRPr="009E4F5C" w:rsidTr="00540B86">
        <w:trPr>
          <w:trHeight w:val="340"/>
        </w:trPr>
        <w:tc>
          <w:tcPr>
            <w:tcW w:w="250" w:type="dxa"/>
            <w:vAlign w:val="center"/>
          </w:tcPr>
          <w:p w:rsidR="00540B86" w:rsidRPr="009E4F5C" w:rsidRDefault="00540B86" w:rsidP="00540B86">
            <w:pPr>
              <w:spacing w:line="276" w:lineRule="auto"/>
              <w:rPr>
                <w:rFonts w:cs="Arial"/>
                <w:sz w:val="18"/>
                <w:szCs w:val="18"/>
              </w:rPr>
            </w:pPr>
          </w:p>
        </w:tc>
        <w:tc>
          <w:tcPr>
            <w:tcW w:w="2324" w:type="dxa"/>
            <w:tcBorders>
              <w:top w:val="single" w:sz="4" w:space="0" w:color="auto"/>
              <w:bottom w:val="single" w:sz="4" w:space="0" w:color="auto"/>
            </w:tcBorders>
            <w:vAlign w:val="center"/>
          </w:tcPr>
          <w:p w:rsidR="00540B86" w:rsidRPr="009E4F5C" w:rsidRDefault="00540B86" w:rsidP="00540B86">
            <w:pPr>
              <w:spacing w:line="276" w:lineRule="auto"/>
              <w:rPr>
                <w:rFonts w:cs="Arial"/>
                <w:bCs/>
                <w:color w:val="262626"/>
                <w:sz w:val="18"/>
                <w:szCs w:val="18"/>
                <w:lang w:eastAsia="de-DE"/>
              </w:rPr>
            </w:pPr>
            <w:r w:rsidRPr="009E4F5C">
              <w:rPr>
                <w:rFonts w:cs="Arial"/>
                <w:bCs/>
                <w:color w:val="262626"/>
                <w:sz w:val="18"/>
                <w:szCs w:val="18"/>
                <w:lang w:eastAsia="de-DE"/>
              </w:rPr>
              <w:t>Intel</w:t>
            </w:r>
            <w:r w:rsidR="00DA4C3D" w:rsidRPr="009E4F5C">
              <w:rPr>
                <w:rFonts w:cs="Arial"/>
                <w:bCs/>
                <w:color w:val="262626"/>
                <w:sz w:val="18"/>
                <w:szCs w:val="18"/>
                <w:vertAlign w:val="superscript"/>
                <w:lang w:eastAsia="de-DE"/>
              </w:rPr>
              <w:t>®</w:t>
            </w:r>
            <w:r w:rsidRPr="009E4F5C">
              <w:rPr>
                <w:rFonts w:cs="Arial"/>
                <w:bCs/>
                <w:color w:val="262626"/>
                <w:sz w:val="18"/>
                <w:szCs w:val="18"/>
                <w:lang w:eastAsia="de-DE"/>
              </w:rPr>
              <w:t xml:space="preserve"> Core™ i5-1145GRE</w:t>
            </w:r>
          </w:p>
        </w:tc>
        <w:tc>
          <w:tcPr>
            <w:tcW w:w="283" w:type="dxa"/>
            <w:vAlign w:val="center"/>
          </w:tcPr>
          <w:p w:rsidR="00540B86" w:rsidRPr="009E4F5C" w:rsidRDefault="00540B86" w:rsidP="00540B86">
            <w:pPr>
              <w:spacing w:line="276" w:lineRule="auto"/>
              <w:rPr>
                <w:rFonts w:cs="Arial"/>
                <w:sz w:val="18"/>
                <w:szCs w:val="18"/>
              </w:rPr>
            </w:pPr>
          </w:p>
        </w:tc>
        <w:tc>
          <w:tcPr>
            <w:tcW w:w="964"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bCs/>
                <w:color w:val="262626"/>
                <w:sz w:val="18"/>
                <w:szCs w:val="18"/>
                <w:lang w:eastAsia="de-DE"/>
              </w:rPr>
            </w:pPr>
            <w:r w:rsidRPr="009E4F5C">
              <w:rPr>
                <w:rFonts w:cs="Arial"/>
                <w:bCs/>
                <w:color w:val="262626"/>
                <w:sz w:val="18"/>
                <w:szCs w:val="18"/>
                <w:lang w:eastAsia="de-DE"/>
              </w:rPr>
              <w:t>4/8</w:t>
            </w:r>
          </w:p>
        </w:tc>
        <w:tc>
          <w:tcPr>
            <w:tcW w:w="236" w:type="dxa"/>
            <w:vAlign w:val="center"/>
          </w:tcPr>
          <w:p w:rsidR="00540B86" w:rsidRPr="009E4F5C" w:rsidRDefault="00540B86" w:rsidP="00540B86">
            <w:pPr>
              <w:spacing w:line="276" w:lineRule="auto"/>
              <w:jc w:val="center"/>
              <w:rPr>
                <w:rFonts w:cs="Arial"/>
                <w:bCs/>
                <w:color w:val="262626"/>
                <w:sz w:val="18"/>
                <w:szCs w:val="18"/>
                <w:lang w:eastAsia="de-DE"/>
              </w:rPr>
            </w:pPr>
          </w:p>
        </w:tc>
        <w:tc>
          <w:tcPr>
            <w:tcW w:w="2005"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2,6/1,5/1,1 (4,1)</w:t>
            </w:r>
          </w:p>
        </w:tc>
        <w:tc>
          <w:tcPr>
            <w:tcW w:w="236" w:type="dxa"/>
            <w:vAlign w:val="center"/>
          </w:tcPr>
          <w:p w:rsidR="00540B86" w:rsidRPr="009E4F5C" w:rsidRDefault="00540B86" w:rsidP="00540B86">
            <w:pPr>
              <w:spacing w:line="276" w:lineRule="auto"/>
              <w:jc w:val="center"/>
              <w:rPr>
                <w:rFonts w:cs="Arial"/>
                <w:sz w:val="18"/>
                <w:szCs w:val="18"/>
              </w:rPr>
            </w:pPr>
          </w:p>
        </w:tc>
        <w:tc>
          <w:tcPr>
            <w:tcW w:w="794"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8</w:t>
            </w:r>
          </w:p>
        </w:tc>
        <w:tc>
          <w:tcPr>
            <w:tcW w:w="1380"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80 EU</w:t>
            </w:r>
          </w:p>
        </w:tc>
        <w:tc>
          <w:tcPr>
            <w:tcW w:w="236" w:type="dxa"/>
            <w:vAlign w:val="center"/>
          </w:tcPr>
          <w:p w:rsidR="00540B86" w:rsidRPr="009E4F5C" w:rsidRDefault="00540B86" w:rsidP="00540B86">
            <w:pPr>
              <w:jc w:val="center"/>
              <w:rPr>
                <w:rFonts w:cs="Arial"/>
                <w:bCs/>
                <w:color w:val="262626"/>
                <w:sz w:val="18"/>
                <w:szCs w:val="18"/>
                <w:lang w:eastAsia="de-DE"/>
              </w:rPr>
            </w:pPr>
          </w:p>
        </w:tc>
      </w:tr>
      <w:tr w:rsidR="00540B86" w:rsidRPr="009E4F5C" w:rsidTr="00540B86">
        <w:trPr>
          <w:trHeight w:val="340"/>
        </w:trPr>
        <w:tc>
          <w:tcPr>
            <w:tcW w:w="250" w:type="dxa"/>
            <w:vAlign w:val="center"/>
          </w:tcPr>
          <w:p w:rsidR="00540B86" w:rsidRPr="009E4F5C" w:rsidRDefault="00540B86" w:rsidP="00540B86">
            <w:pPr>
              <w:spacing w:line="276" w:lineRule="auto"/>
              <w:rPr>
                <w:rFonts w:cs="Arial"/>
                <w:sz w:val="18"/>
                <w:szCs w:val="18"/>
              </w:rPr>
            </w:pPr>
          </w:p>
        </w:tc>
        <w:tc>
          <w:tcPr>
            <w:tcW w:w="2324" w:type="dxa"/>
            <w:tcBorders>
              <w:top w:val="single" w:sz="4" w:space="0" w:color="auto"/>
              <w:bottom w:val="single" w:sz="4" w:space="0" w:color="auto"/>
            </w:tcBorders>
            <w:vAlign w:val="center"/>
          </w:tcPr>
          <w:p w:rsidR="00540B86" w:rsidRPr="009E4F5C" w:rsidRDefault="00540B86" w:rsidP="00540B86">
            <w:pPr>
              <w:spacing w:line="276" w:lineRule="auto"/>
              <w:rPr>
                <w:rFonts w:cs="Arial"/>
                <w:bCs/>
                <w:color w:val="262626"/>
                <w:sz w:val="18"/>
                <w:szCs w:val="18"/>
                <w:lang w:eastAsia="de-DE"/>
              </w:rPr>
            </w:pPr>
            <w:r w:rsidRPr="009E4F5C">
              <w:rPr>
                <w:rFonts w:cs="Arial"/>
                <w:bCs/>
                <w:color w:val="262626"/>
                <w:sz w:val="18"/>
                <w:szCs w:val="18"/>
                <w:lang w:eastAsia="de-DE"/>
              </w:rPr>
              <w:t>Intel</w:t>
            </w:r>
            <w:r w:rsidR="00DA4C3D" w:rsidRPr="009E4F5C">
              <w:rPr>
                <w:rFonts w:cs="Arial"/>
                <w:bCs/>
                <w:color w:val="262626"/>
                <w:sz w:val="18"/>
                <w:szCs w:val="18"/>
                <w:vertAlign w:val="superscript"/>
                <w:lang w:eastAsia="de-DE"/>
              </w:rPr>
              <w:t>®</w:t>
            </w:r>
            <w:r w:rsidRPr="009E4F5C">
              <w:rPr>
                <w:rFonts w:cs="Arial"/>
                <w:bCs/>
                <w:color w:val="262626"/>
                <w:sz w:val="18"/>
                <w:szCs w:val="18"/>
                <w:lang w:eastAsia="de-DE"/>
              </w:rPr>
              <w:t xml:space="preserve"> Core™ i3-1115GRE</w:t>
            </w:r>
          </w:p>
        </w:tc>
        <w:tc>
          <w:tcPr>
            <w:tcW w:w="283" w:type="dxa"/>
            <w:vAlign w:val="center"/>
          </w:tcPr>
          <w:p w:rsidR="00540B86" w:rsidRPr="009E4F5C" w:rsidRDefault="00540B86" w:rsidP="00540B86">
            <w:pPr>
              <w:spacing w:line="276" w:lineRule="auto"/>
              <w:rPr>
                <w:rFonts w:cs="Arial"/>
                <w:sz w:val="18"/>
                <w:szCs w:val="18"/>
              </w:rPr>
            </w:pPr>
          </w:p>
        </w:tc>
        <w:tc>
          <w:tcPr>
            <w:tcW w:w="964"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bCs/>
                <w:color w:val="262626"/>
                <w:sz w:val="18"/>
                <w:szCs w:val="18"/>
                <w:lang w:eastAsia="de-DE"/>
              </w:rPr>
            </w:pPr>
            <w:r w:rsidRPr="009E4F5C">
              <w:rPr>
                <w:rFonts w:cs="Arial"/>
                <w:bCs/>
                <w:color w:val="262626"/>
                <w:sz w:val="18"/>
                <w:szCs w:val="18"/>
                <w:lang w:eastAsia="de-DE"/>
              </w:rPr>
              <w:t>2/4</w:t>
            </w:r>
          </w:p>
        </w:tc>
        <w:tc>
          <w:tcPr>
            <w:tcW w:w="236" w:type="dxa"/>
            <w:vAlign w:val="center"/>
          </w:tcPr>
          <w:p w:rsidR="00540B86" w:rsidRPr="009E4F5C" w:rsidRDefault="00540B86" w:rsidP="00540B86">
            <w:pPr>
              <w:spacing w:line="276" w:lineRule="auto"/>
              <w:jc w:val="center"/>
              <w:rPr>
                <w:rFonts w:cs="Arial"/>
                <w:bCs/>
                <w:color w:val="262626"/>
                <w:sz w:val="18"/>
                <w:szCs w:val="18"/>
                <w:lang w:eastAsia="de-DE"/>
              </w:rPr>
            </w:pPr>
          </w:p>
        </w:tc>
        <w:tc>
          <w:tcPr>
            <w:tcW w:w="2005"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3,0/2,2/1,7 (3,9)</w:t>
            </w:r>
          </w:p>
        </w:tc>
        <w:tc>
          <w:tcPr>
            <w:tcW w:w="236" w:type="dxa"/>
            <w:vAlign w:val="center"/>
          </w:tcPr>
          <w:p w:rsidR="00540B86" w:rsidRPr="009E4F5C" w:rsidRDefault="00540B86" w:rsidP="00540B86">
            <w:pPr>
              <w:spacing w:line="276" w:lineRule="auto"/>
              <w:jc w:val="center"/>
              <w:rPr>
                <w:rFonts w:cs="Arial"/>
                <w:sz w:val="18"/>
                <w:szCs w:val="18"/>
              </w:rPr>
            </w:pPr>
          </w:p>
        </w:tc>
        <w:tc>
          <w:tcPr>
            <w:tcW w:w="794"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6</w:t>
            </w:r>
          </w:p>
        </w:tc>
        <w:tc>
          <w:tcPr>
            <w:tcW w:w="1380"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48 EU</w:t>
            </w:r>
          </w:p>
        </w:tc>
        <w:tc>
          <w:tcPr>
            <w:tcW w:w="236" w:type="dxa"/>
            <w:vAlign w:val="center"/>
          </w:tcPr>
          <w:p w:rsidR="00540B86" w:rsidRPr="009E4F5C" w:rsidRDefault="00540B86" w:rsidP="00540B86">
            <w:pPr>
              <w:jc w:val="center"/>
              <w:rPr>
                <w:rFonts w:cs="Arial"/>
                <w:bCs/>
                <w:color w:val="262626"/>
                <w:sz w:val="18"/>
                <w:szCs w:val="18"/>
                <w:lang w:eastAsia="de-DE"/>
              </w:rPr>
            </w:pPr>
          </w:p>
        </w:tc>
      </w:tr>
      <w:tr w:rsidR="00540B86" w:rsidRPr="009E4F5C" w:rsidTr="00540B86">
        <w:trPr>
          <w:trHeight w:val="340"/>
        </w:trPr>
        <w:tc>
          <w:tcPr>
            <w:tcW w:w="250" w:type="dxa"/>
            <w:vAlign w:val="center"/>
          </w:tcPr>
          <w:p w:rsidR="00540B86" w:rsidRPr="009E4F5C" w:rsidRDefault="00540B86" w:rsidP="00540B86">
            <w:pPr>
              <w:spacing w:line="276" w:lineRule="auto"/>
              <w:rPr>
                <w:rFonts w:cs="Arial"/>
                <w:sz w:val="18"/>
                <w:szCs w:val="18"/>
              </w:rPr>
            </w:pPr>
          </w:p>
        </w:tc>
        <w:tc>
          <w:tcPr>
            <w:tcW w:w="2324" w:type="dxa"/>
            <w:tcBorders>
              <w:top w:val="single" w:sz="4" w:space="0" w:color="auto"/>
              <w:bottom w:val="single" w:sz="4" w:space="0" w:color="auto"/>
            </w:tcBorders>
            <w:vAlign w:val="center"/>
          </w:tcPr>
          <w:p w:rsidR="00540B86" w:rsidRPr="009E4F5C" w:rsidRDefault="00540B86" w:rsidP="00540B86">
            <w:pPr>
              <w:spacing w:line="276" w:lineRule="auto"/>
              <w:rPr>
                <w:rFonts w:cs="Arial"/>
                <w:bCs/>
                <w:color w:val="262626"/>
                <w:sz w:val="18"/>
                <w:szCs w:val="18"/>
                <w:lang w:eastAsia="de-DE"/>
              </w:rPr>
            </w:pPr>
            <w:r w:rsidRPr="009E4F5C">
              <w:rPr>
                <w:rFonts w:cs="Arial"/>
                <w:bCs/>
                <w:color w:val="262626"/>
                <w:sz w:val="18"/>
                <w:szCs w:val="18"/>
                <w:lang w:eastAsia="de-DE"/>
              </w:rPr>
              <w:t>Intel</w:t>
            </w:r>
            <w:r w:rsidR="00DA4C3D" w:rsidRPr="009E4F5C">
              <w:rPr>
                <w:rFonts w:cs="Arial"/>
                <w:bCs/>
                <w:color w:val="262626"/>
                <w:sz w:val="18"/>
                <w:szCs w:val="18"/>
                <w:vertAlign w:val="superscript"/>
                <w:lang w:eastAsia="de-DE"/>
              </w:rPr>
              <w:t>®</w:t>
            </w:r>
            <w:r w:rsidRPr="009E4F5C">
              <w:rPr>
                <w:rFonts w:cs="Arial"/>
                <w:bCs/>
                <w:color w:val="262626"/>
                <w:sz w:val="18"/>
                <w:szCs w:val="18"/>
                <w:lang w:eastAsia="de-DE"/>
              </w:rPr>
              <w:t xml:space="preserve"> Celeron</w:t>
            </w:r>
            <w:r w:rsidR="00DA4C3D" w:rsidRPr="009E4F5C">
              <w:rPr>
                <w:rFonts w:cs="Arial"/>
                <w:bCs/>
                <w:color w:val="262626"/>
                <w:sz w:val="18"/>
                <w:szCs w:val="18"/>
                <w:vertAlign w:val="superscript"/>
                <w:lang w:eastAsia="de-DE"/>
              </w:rPr>
              <w:t>®</w:t>
            </w:r>
            <w:r w:rsidRPr="009E4F5C">
              <w:rPr>
                <w:rFonts w:cs="Arial"/>
                <w:bCs/>
                <w:color w:val="262626"/>
                <w:sz w:val="18"/>
                <w:szCs w:val="18"/>
                <w:lang w:eastAsia="de-DE"/>
              </w:rPr>
              <w:t xml:space="preserve"> 6305E</w:t>
            </w:r>
          </w:p>
        </w:tc>
        <w:tc>
          <w:tcPr>
            <w:tcW w:w="283" w:type="dxa"/>
            <w:vAlign w:val="center"/>
          </w:tcPr>
          <w:p w:rsidR="00540B86" w:rsidRPr="009E4F5C" w:rsidRDefault="00540B86" w:rsidP="00540B86">
            <w:pPr>
              <w:spacing w:line="276" w:lineRule="auto"/>
              <w:rPr>
                <w:rFonts w:cs="Arial"/>
                <w:sz w:val="18"/>
                <w:szCs w:val="18"/>
              </w:rPr>
            </w:pPr>
          </w:p>
        </w:tc>
        <w:tc>
          <w:tcPr>
            <w:tcW w:w="964" w:type="dxa"/>
            <w:tcBorders>
              <w:top w:val="single" w:sz="4" w:space="0" w:color="auto"/>
              <w:bottom w:val="single" w:sz="4" w:space="0" w:color="auto"/>
            </w:tcBorders>
            <w:vAlign w:val="center"/>
          </w:tcPr>
          <w:p w:rsidR="00540B86" w:rsidRPr="009E4F5C" w:rsidRDefault="00540B86" w:rsidP="00540B86">
            <w:pPr>
              <w:spacing w:line="276" w:lineRule="auto"/>
              <w:jc w:val="center"/>
              <w:rPr>
                <w:rFonts w:cs="Arial"/>
                <w:bCs/>
                <w:color w:val="262626"/>
                <w:sz w:val="18"/>
                <w:szCs w:val="18"/>
                <w:lang w:eastAsia="de-DE"/>
              </w:rPr>
            </w:pPr>
            <w:r w:rsidRPr="009E4F5C">
              <w:rPr>
                <w:rFonts w:cs="Arial"/>
                <w:bCs/>
                <w:color w:val="262626"/>
                <w:sz w:val="18"/>
                <w:szCs w:val="18"/>
                <w:lang w:eastAsia="de-DE"/>
              </w:rPr>
              <w:t>2/2</w:t>
            </w:r>
          </w:p>
        </w:tc>
        <w:tc>
          <w:tcPr>
            <w:tcW w:w="236" w:type="dxa"/>
            <w:vAlign w:val="center"/>
          </w:tcPr>
          <w:p w:rsidR="00540B86" w:rsidRPr="009E4F5C" w:rsidRDefault="00540B86" w:rsidP="00540B86">
            <w:pPr>
              <w:spacing w:line="276" w:lineRule="auto"/>
              <w:jc w:val="center"/>
              <w:rPr>
                <w:rFonts w:cs="Arial"/>
                <w:bCs/>
                <w:color w:val="262626"/>
                <w:sz w:val="18"/>
                <w:szCs w:val="18"/>
                <w:lang w:eastAsia="de-DE"/>
              </w:rPr>
            </w:pPr>
          </w:p>
        </w:tc>
        <w:tc>
          <w:tcPr>
            <w:tcW w:w="2005"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1,8</w:t>
            </w:r>
          </w:p>
        </w:tc>
        <w:tc>
          <w:tcPr>
            <w:tcW w:w="236" w:type="dxa"/>
            <w:vAlign w:val="center"/>
          </w:tcPr>
          <w:p w:rsidR="00540B86" w:rsidRPr="009E4F5C" w:rsidRDefault="00540B86" w:rsidP="00540B86">
            <w:pPr>
              <w:spacing w:line="276" w:lineRule="auto"/>
              <w:jc w:val="center"/>
              <w:rPr>
                <w:rFonts w:cs="Arial"/>
                <w:sz w:val="18"/>
                <w:szCs w:val="18"/>
              </w:rPr>
            </w:pPr>
          </w:p>
        </w:tc>
        <w:tc>
          <w:tcPr>
            <w:tcW w:w="794"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4</w:t>
            </w:r>
          </w:p>
        </w:tc>
        <w:tc>
          <w:tcPr>
            <w:tcW w:w="1380" w:type="dxa"/>
            <w:tcBorders>
              <w:top w:val="single" w:sz="4" w:space="0" w:color="auto"/>
              <w:bottom w:val="single" w:sz="4" w:space="0" w:color="auto"/>
            </w:tcBorders>
            <w:vAlign w:val="center"/>
          </w:tcPr>
          <w:p w:rsidR="00540B86" w:rsidRPr="009E4F5C" w:rsidRDefault="00540B86" w:rsidP="00540B86">
            <w:pPr>
              <w:jc w:val="center"/>
              <w:rPr>
                <w:rFonts w:cs="Arial"/>
                <w:bCs/>
                <w:color w:val="262626"/>
                <w:sz w:val="18"/>
                <w:szCs w:val="18"/>
                <w:lang w:eastAsia="de-DE"/>
              </w:rPr>
            </w:pPr>
            <w:r w:rsidRPr="009E4F5C">
              <w:rPr>
                <w:rFonts w:cs="Arial"/>
                <w:bCs/>
                <w:color w:val="262626"/>
                <w:sz w:val="18"/>
                <w:szCs w:val="18"/>
                <w:lang w:eastAsia="de-DE"/>
              </w:rPr>
              <w:t>48 EU</w:t>
            </w:r>
          </w:p>
        </w:tc>
        <w:tc>
          <w:tcPr>
            <w:tcW w:w="236" w:type="dxa"/>
            <w:vAlign w:val="center"/>
          </w:tcPr>
          <w:p w:rsidR="00540B86" w:rsidRPr="009E4F5C" w:rsidRDefault="00540B86" w:rsidP="00540B86">
            <w:pPr>
              <w:jc w:val="center"/>
              <w:rPr>
                <w:rStyle w:val="Kommentarzeichen"/>
              </w:rPr>
            </w:pPr>
          </w:p>
        </w:tc>
      </w:tr>
    </w:tbl>
    <w:p w:rsidR="00540B86" w:rsidRPr="009E4F5C" w:rsidRDefault="00540B86" w:rsidP="00540B86">
      <w:pPr>
        <w:rPr>
          <w:rFonts w:cs="Arial"/>
          <w:szCs w:val="22"/>
        </w:rPr>
      </w:pPr>
    </w:p>
    <w:p w:rsidR="00540B86" w:rsidRPr="009E4F5C" w:rsidRDefault="00540B86" w:rsidP="00540B86">
      <w:pPr>
        <w:rPr>
          <w:rFonts w:cs="Arial"/>
          <w:szCs w:val="22"/>
        </w:rPr>
      </w:pPr>
      <w:r w:rsidRPr="009E4F5C">
        <w:rPr>
          <w:rFonts w:cs="Arial"/>
          <w:szCs w:val="22"/>
        </w:rPr>
        <w:t xml:space="preserve">Weitere Informationen zum neuen </w:t>
      </w:r>
      <w:r w:rsidR="00AC3B91">
        <w:rPr>
          <w:rFonts w:cs="Arial"/>
          <w:szCs w:val="22"/>
        </w:rPr>
        <w:t xml:space="preserve">conga-TC570r </w:t>
      </w:r>
      <w:r w:rsidRPr="009E4F5C">
        <w:rPr>
          <w:rFonts w:cs="Arial"/>
          <w:szCs w:val="22"/>
        </w:rPr>
        <w:t xml:space="preserve">COM Express Compact Modul unter: </w:t>
      </w:r>
      <w:r w:rsidR="00015BA8">
        <w:rPr>
          <w:rFonts w:cs="Arial"/>
          <w:szCs w:val="22"/>
        </w:rPr>
        <w:fldChar w:fldCharType="begin"/>
      </w:r>
      <w:r w:rsidR="00015BA8">
        <w:rPr>
          <w:rFonts w:cs="Arial"/>
          <w:szCs w:val="22"/>
        </w:rPr>
        <w:instrText xml:space="preserve"> HYPERLINK "http://</w:instrText>
      </w:r>
      <w:r w:rsidR="00015BA8" w:rsidRPr="00015BA8">
        <w:rPr>
          <w:rFonts w:cs="Arial"/>
          <w:szCs w:val="22"/>
        </w:rPr>
        <w:instrText>www.congatec.com/de/products/com-express-type-6/conga-tc570r/</w:instrText>
      </w:r>
      <w:r w:rsidR="00015BA8">
        <w:rPr>
          <w:rFonts w:cs="Arial"/>
          <w:szCs w:val="22"/>
        </w:rPr>
        <w:instrText xml:space="preserve">" </w:instrText>
      </w:r>
      <w:r w:rsidR="00015BA8">
        <w:rPr>
          <w:rFonts w:cs="Arial"/>
          <w:szCs w:val="22"/>
        </w:rPr>
        <w:fldChar w:fldCharType="separate"/>
      </w:r>
      <w:r w:rsidR="00015BA8" w:rsidRPr="005B017F">
        <w:rPr>
          <w:rStyle w:val="Hyperlink"/>
          <w:rFonts w:cs="Arial"/>
          <w:szCs w:val="22"/>
        </w:rPr>
        <w:t>www.congatec.com/de/products/com-express-type-6/conga-tc570r/</w:t>
      </w:r>
      <w:r w:rsidR="00015BA8">
        <w:rPr>
          <w:rFonts w:cs="Arial"/>
          <w:szCs w:val="22"/>
        </w:rPr>
        <w:fldChar w:fldCharType="end"/>
      </w:r>
    </w:p>
    <w:p w:rsidR="00540B86" w:rsidRPr="009E4F5C" w:rsidRDefault="00540B86" w:rsidP="00540B86">
      <w:pPr>
        <w:rPr>
          <w:rFonts w:cs="Arial"/>
          <w:b/>
          <w:szCs w:val="22"/>
        </w:rPr>
      </w:pPr>
    </w:p>
    <w:p w:rsidR="00540B86" w:rsidRPr="009E4F5C" w:rsidRDefault="00042A68" w:rsidP="00540B86">
      <w:pPr>
        <w:rPr>
          <w:rFonts w:cs="Arial"/>
          <w:szCs w:val="22"/>
        </w:rPr>
      </w:pPr>
      <w:r w:rsidRPr="009E4F5C">
        <w:rPr>
          <w:rFonts w:cs="Arial"/>
          <w:szCs w:val="22"/>
        </w:rPr>
        <w:t>Informationen zu</w:t>
      </w:r>
      <w:r w:rsidR="00540B86" w:rsidRPr="009E4F5C">
        <w:rPr>
          <w:rFonts w:cs="Arial"/>
          <w:szCs w:val="22"/>
        </w:rPr>
        <w:t xml:space="preserve"> </w:t>
      </w:r>
      <w:r w:rsidRPr="009E4F5C">
        <w:rPr>
          <w:rFonts w:cs="Arial"/>
          <w:szCs w:val="22"/>
        </w:rPr>
        <w:t xml:space="preserve">weiteren </w:t>
      </w:r>
      <w:r w:rsidR="00540B86" w:rsidRPr="009E4F5C">
        <w:rPr>
          <w:rFonts w:cs="Arial"/>
          <w:szCs w:val="22"/>
        </w:rPr>
        <w:t xml:space="preserve">Intel Tiger Lake </w:t>
      </w:r>
      <w:r w:rsidRPr="009E4F5C">
        <w:rPr>
          <w:rFonts w:cs="Arial"/>
          <w:szCs w:val="22"/>
        </w:rPr>
        <w:t>Lösungen</w:t>
      </w:r>
      <w:r w:rsidR="00540B86" w:rsidRPr="009E4F5C">
        <w:rPr>
          <w:rFonts w:cs="Arial"/>
          <w:szCs w:val="22"/>
        </w:rPr>
        <w:t xml:space="preserve"> von congatec unter: </w:t>
      </w:r>
      <w:hyperlink r:id="rId10" w:history="1">
        <w:r w:rsidR="00540B86" w:rsidRPr="009E4F5C">
          <w:rPr>
            <w:rStyle w:val="Hyperlink"/>
            <w:rFonts w:cs="Arial"/>
            <w:szCs w:val="22"/>
          </w:rPr>
          <w:t>https://congatec.com/11th-gen-intel-core/</w:t>
        </w:r>
      </w:hyperlink>
    </w:p>
    <w:p w:rsidR="00EC0F56" w:rsidRPr="009E4F5C" w:rsidRDefault="00EC0F56" w:rsidP="00673527">
      <w:pPr>
        <w:rPr>
          <w:rFonts w:cs="Arial"/>
          <w:szCs w:val="22"/>
        </w:rPr>
      </w:pPr>
    </w:p>
    <w:p w:rsidR="00F76F29" w:rsidRPr="009E4F5C" w:rsidRDefault="00F76F29" w:rsidP="00F76F29">
      <w:pPr>
        <w:pStyle w:val="Standard1"/>
        <w:spacing w:line="360" w:lineRule="auto"/>
        <w:jc w:val="center"/>
        <w:rPr>
          <w:rFonts w:ascii="Arial" w:hAnsi="Arial" w:cs="Arial"/>
          <w:sz w:val="16"/>
          <w:szCs w:val="16"/>
        </w:rPr>
      </w:pPr>
      <w:r w:rsidRPr="009E4F5C">
        <w:rPr>
          <w:rFonts w:ascii="Arial" w:hAnsi="Arial" w:cs="Arial"/>
          <w:sz w:val="16"/>
          <w:szCs w:val="16"/>
        </w:rPr>
        <w:t>* * *</w:t>
      </w:r>
    </w:p>
    <w:p w:rsidR="0035632F" w:rsidRPr="009E4F5C" w:rsidRDefault="0035632F" w:rsidP="00957615">
      <w:pPr>
        <w:pStyle w:val="Standard1"/>
        <w:ind w:right="283"/>
        <w:rPr>
          <w:rFonts w:ascii="Arial" w:hAnsi="Arial" w:cs="Arial"/>
          <w:b/>
          <w:bCs/>
          <w:sz w:val="16"/>
          <w:szCs w:val="16"/>
        </w:rPr>
      </w:pPr>
    </w:p>
    <w:p w:rsidR="00957615" w:rsidRPr="009E4F5C" w:rsidRDefault="00957615" w:rsidP="00957615">
      <w:pPr>
        <w:pStyle w:val="Standard1"/>
        <w:ind w:right="283"/>
        <w:rPr>
          <w:rFonts w:ascii="Arial" w:hAnsi="Arial" w:cs="Arial"/>
          <w:b/>
          <w:bCs/>
          <w:sz w:val="16"/>
          <w:szCs w:val="16"/>
        </w:rPr>
      </w:pPr>
      <w:r w:rsidRPr="009E4F5C">
        <w:rPr>
          <w:rFonts w:ascii="Arial" w:hAnsi="Arial" w:cs="Arial"/>
          <w:b/>
          <w:bCs/>
          <w:sz w:val="16"/>
          <w:szCs w:val="16"/>
        </w:rPr>
        <w:t>Über congatec</w:t>
      </w:r>
    </w:p>
    <w:p w:rsidR="00957615" w:rsidRPr="009E4F5C" w:rsidRDefault="00CA299D" w:rsidP="00957615">
      <w:pPr>
        <w:pStyle w:val="Standard1"/>
        <w:rPr>
          <w:rFonts w:ascii="Arial" w:hAnsi="Arial" w:cs="Arial"/>
          <w:sz w:val="16"/>
          <w:szCs w:val="16"/>
        </w:rPr>
      </w:pPr>
      <w:r w:rsidRPr="009E4F5C">
        <w:rPr>
          <w:rFonts w:ascii="Arial" w:hAnsi="Arial" w:cs="Arial"/>
          <w:sz w:val="16"/>
          <w:szCs w:val="16"/>
        </w:rPr>
        <w:t xml:space="preserve">congatec ist ein stark wachsendes Technologieunternehmen mit Fokus auf Embedded- und Edge-Computing-Produkte und Services. </w:t>
      </w:r>
      <w:r w:rsidR="00957615" w:rsidRPr="009E4F5C">
        <w:rPr>
          <w:rFonts w:ascii="Arial" w:hAnsi="Arial" w:cs="Arial"/>
          <w:sz w:val="16"/>
          <w:szCs w:val="16"/>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w:t>
      </w:r>
      <w:r w:rsidR="00F82D3E" w:rsidRPr="009E4F5C">
        <w:rPr>
          <w:rFonts w:ascii="Arial" w:hAnsi="Arial" w:cs="Arial"/>
          <w:sz w:val="16"/>
          <w:szCs w:val="16"/>
        </w:rPr>
        <w:t>2020</w:t>
      </w:r>
      <w:r w:rsidR="00957615" w:rsidRPr="009E4F5C">
        <w:rPr>
          <w:rFonts w:ascii="Arial" w:hAnsi="Arial" w:cs="Arial"/>
          <w:sz w:val="16"/>
          <w:szCs w:val="16"/>
        </w:rPr>
        <w:t xml:space="preserve"> einen Umsatz in Höhe von 1</w:t>
      </w:r>
      <w:r w:rsidR="00F82D3E" w:rsidRPr="009E4F5C">
        <w:rPr>
          <w:rFonts w:ascii="Arial" w:hAnsi="Arial" w:cs="Arial"/>
          <w:sz w:val="16"/>
          <w:szCs w:val="16"/>
        </w:rPr>
        <w:t>27,5</w:t>
      </w:r>
      <w:r w:rsidR="00957615" w:rsidRPr="009E4F5C">
        <w:rPr>
          <w:rFonts w:ascii="Arial" w:hAnsi="Arial" w:cs="Arial"/>
          <w:sz w:val="16"/>
          <w:szCs w:val="16"/>
        </w:rPr>
        <w:t xml:space="preserve"> Mio. US Dollar. Weitere Informationen finden Sie unter </w:t>
      </w:r>
      <w:hyperlink r:id="rId11" w:history="1">
        <w:r w:rsidR="00957615" w:rsidRPr="009E4F5C">
          <w:rPr>
            <w:rStyle w:val="Hyperlink"/>
            <w:rFonts w:ascii="Arial" w:eastAsiaTheme="majorEastAsia" w:hAnsi="Arial" w:cs="Arial"/>
            <w:sz w:val="16"/>
            <w:szCs w:val="16"/>
          </w:rPr>
          <w:t>www.congatec.de</w:t>
        </w:r>
      </w:hyperlink>
      <w:r w:rsidR="00957615" w:rsidRPr="009E4F5C">
        <w:rPr>
          <w:rFonts w:ascii="Arial" w:hAnsi="Arial" w:cs="Arial"/>
          <w:sz w:val="16"/>
          <w:szCs w:val="16"/>
        </w:rPr>
        <w:t xml:space="preserve"> oder bei </w:t>
      </w:r>
      <w:hyperlink r:id="rId12" w:history="1">
        <w:r w:rsidR="00957615" w:rsidRPr="009E4F5C">
          <w:rPr>
            <w:rStyle w:val="Hyperlink"/>
            <w:rFonts w:ascii="Arial" w:eastAsiaTheme="majorEastAsia" w:hAnsi="Arial" w:cs="Arial"/>
            <w:sz w:val="16"/>
            <w:szCs w:val="16"/>
          </w:rPr>
          <w:t>LinkedIn</w:t>
        </w:r>
      </w:hyperlink>
      <w:r w:rsidR="00957615" w:rsidRPr="009E4F5C">
        <w:rPr>
          <w:rFonts w:ascii="Arial" w:hAnsi="Arial" w:cs="Arial"/>
          <w:sz w:val="16"/>
          <w:szCs w:val="16"/>
        </w:rPr>
        <w:t xml:space="preserve">, </w:t>
      </w:r>
      <w:hyperlink r:id="rId13" w:history="1">
        <w:r w:rsidR="00957615" w:rsidRPr="009E4F5C">
          <w:rPr>
            <w:rStyle w:val="Hyperlink"/>
            <w:rFonts w:ascii="Arial" w:eastAsiaTheme="majorEastAsia" w:hAnsi="Arial" w:cs="Arial"/>
            <w:sz w:val="16"/>
            <w:szCs w:val="16"/>
          </w:rPr>
          <w:t>Twitter</w:t>
        </w:r>
      </w:hyperlink>
      <w:r w:rsidR="00957615" w:rsidRPr="009E4F5C">
        <w:rPr>
          <w:rFonts w:ascii="Arial" w:hAnsi="Arial" w:cs="Arial"/>
          <w:sz w:val="16"/>
          <w:szCs w:val="16"/>
        </w:rPr>
        <w:t xml:space="preserve"> und </w:t>
      </w:r>
      <w:hyperlink r:id="rId14" w:history="1">
        <w:r w:rsidR="00957615" w:rsidRPr="009E4F5C">
          <w:rPr>
            <w:rStyle w:val="Hyperlink"/>
            <w:rFonts w:ascii="Arial" w:eastAsiaTheme="majorEastAsia" w:hAnsi="Arial" w:cs="Arial"/>
            <w:sz w:val="16"/>
            <w:szCs w:val="16"/>
          </w:rPr>
          <w:t>YouTube</w:t>
        </w:r>
      </w:hyperlink>
      <w:r w:rsidR="00957615" w:rsidRPr="009E4F5C">
        <w:rPr>
          <w:rFonts w:ascii="Arial" w:hAnsi="Arial" w:cs="Arial"/>
          <w:sz w:val="16"/>
          <w:szCs w:val="16"/>
        </w:rPr>
        <w:t>.</w:t>
      </w:r>
    </w:p>
    <w:p w:rsidR="009C76DA" w:rsidRPr="009E4F5C" w:rsidRDefault="009C76DA" w:rsidP="00957615">
      <w:pPr>
        <w:pStyle w:val="Standard1"/>
        <w:rPr>
          <w:rFonts w:ascii="Arial" w:hAnsi="Arial" w:cs="Arial"/>
          <w:sz w:val="16"/>
          <w:szCs w:val="16"/>
        </w:rPr>
      </w:pPr>
    </w:p>
    <w:p w:rsidR="00B70D77" w:rsidRPr="009E4F5C" w:rsidRDefault="00B70D77" w:rsidP="00957615">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B70D77" w:rsidRPr="009E4F5C" w:rsidTr="00540B86">
        <w:trPr>
          <w:trHeight w:val="270"/>
        </w:trPr>
        <w:tc>
          <w:tcPr>
            <w:tcW w:w="2552" w:type="dxa"/>
            <w:shd w:val="clear" w:color="auto" w:fill="auto"/>
          </w:tcPr>
          <w:p w:rsidR="00B70D77" w:rsidRPr="009E4F5C" w:rsidRDefault="00B70D77" w:rsidP="00540B86">
            <w:pPr>
              <w:pStyle w:val="Standard1"/>
              <w:snapToGrid w:val="0"/>
              <w:spacing w:line="276" w:lineRule="auto"/>
              <w:ind w:right="-1058"/>
              <w:rPr>
                <w:rFonts w:ascii="Arial" w:hAnsi="Arial" w:cs="Arial"/>
                <w:b/>
                <w:sz w:val="20"/>
                <w:szCs w:val="20"/>
              </w:rPr>
            </w:pPr>
            <w:r w:rsidRPr="009E4F5C">
              <w:rPr>
                <w:rFonts w:ascii="Arial" w:hAnsi="Arial" w:cs="Arial"/>
                <w:b/>
                <w:sz w:val="20"/>
                <w:szCs w:val="20"/>
              </w:rPr>
              <w:t>Leserkontakt:</w:t>
            </w:r>
          </w:p>
          <w:p w:rsidR="00B70D77" w:rsidRPr="009E4F5C" w:rsidRDefault="00B70D77" w:rsidP="00540B86">
            <w:pPr>
              <w:pStyle w:val="Standard1"/>
              <w:snapToGrid w:val="0"/>
              <w:spacing w:line="276" w:lineRule="auto"/>
              <w:ind w:right="-1058"/>
              <w:rPr>
                <w:rFonts w:ascii="Arial" w:hAnsi="Arial" w:cs="Arial"/>
                <w:sz w:val="20"/>
                <w:szCs w:val="20"/>
                <w:u w:val="single"/>
              </w:rPr>
            </w:pPr>
            <w:r w:rsidRPr="009E4F5C">
              <w:rPr>
                <w:rFonts w:ascii="Arial" w:hAnsi="Arial" w:cs="Arial"/>
                <w:sz w:val="20"/>
                <w:szCs w:val="20"/>
              </w:rPr>
              <w:t>congatec GmbH</w:t>
            </w:r>
          </w:p>
          <w:p w:rsidR="00B70D77" w:rsidRPr="009E4F5C" w:rsidRDefault="00B70D77" w:rsidP="00540B86">
            <w:pPr>
              <w:pStyle w:val="Standard1"/>
              <w:snapToGrid w:val="0"/>
              <w:spacing w:line="276" w:lineRule="auto"/>
              <w:ind w:right="-1058"/>
              <w:rPr>
                <w:rFonts w:ascii="Arial" w:hAnsi="Arial" w:cs="Arial"/>
                <w:b/>
                <w:sz w:val="20"/>
                <w:szCs w:val="20"/>
                <w:u w:val="single"/>
              </w:rPr>
            </w:pPr>
            <w:r w:rsidRPr="009E4F5C">
              <w:rPr>
                <w:rFonts w:ascii="Arial" w:hAnsi="Arial" w:cs="Arial"/>
                <w:sz w:val="20"/>
                <w:szCs w:val="20"/>
              </w:rPr>
              <w:t>Christian Eder</w:t>
            </w:r>
          </w:p>
          <w:p w:rsidR="00B70D77" w:rsidRPr="009E4F5C" w:rsidRDefault="00B70D77" w:rsidP="00540B86">
            <w:pPr>
              <w:pStyle w:val="Standard1"/>
              <w:snapToGrid w:val="0"/>
              <w:spacing w:line="276" w:lineRule="auto"/>
              <w:ind w:right="-1058"/>
              <w:rPr>
                <w:rFonts w:ascii="Arial" w:hAnsi="Arial" w:cs="Arial"/>
                <w:b/>
                <w:sz w:val="20"/>
                <w:szCs w:val="20"/>
                <w:u w:val="single"/>
              </w:rPr>
            </w:pPr>
            <w:r w:rsidRPr="009E4F5C">
              <w:rPr>
                <w:rFonts w:ascii="Arial" w:hAnsi="Arial" w:cs="Arial"/>
                <w:sz w:val="20"/>
                <w:szCs w:val="20"/>
              </w:rPr>
              <w:t>Telefon: +49-991-2700-0</w:t>
            </w:r>
          </w:p>
          <w:p w:rsidR="00B70D77" w:rsidRPr="009E4F5C" w:rsidRDefault="001F01EF" w:rsidP="00540B86">
            <w:pPr>
              <w:pStyle w:val="Standard1"/>
              <w:snapToGrid w:val="0"/>
              <w:spacing w:line="276" w:lineRule="auto"/>
              <w:rPr>
                <w:rFonts w:ascii="Arial" w:hAnsi="Arial" w:cs="Arial"/>
                <w:sz w:val="20"/>
                <w:szCs w:val="20"/>
              </w:rPr>
            </w:pPr>
            <w:hyperlink r:id="rId15" w:history="1">
              <w:r w:rsidR="00B70D77" w:rsidRPr="009E4F5C">
                <w:rPr>
                  <w:rStyle w:val="Hyperlink"/>
                  <w:rFonts w:ascii="Arial" w:hAnsi="Arial" w:cs="Arial"/>
                  <w:sz w:val="20"/>
                  <w:szCs w:val="20"/>
                </w:rPr>
                <w:t>info@congatec.com</w:t>
              </w:r>
            </w:hyperlink>
            <w:r w:rsidR="00B70D77" w:rsidRPr="009E4F5C">
              <w:rPr>
                <w:rFonts w:ascii="Arial" w:hAnsi="Arial" w:cs="Arial"/>
                <w:sz w:val="20"/>
                <w:szCs w:val="20"/>
              </w:rPr>
              <w:t xml:space="preserve"> </w:t>
            </w:r>
          </w:p>
          <w:p w:rsidR="00B70D77" w:rsidRPr="009E4F5C" w:rsidRDefault="001F01EF" w:rsidP="00540B86">
            <w:pPr>
              <w:pStyle w:val="Standard1"/>
              <w:snapToGrid w:val="0"/>
              <w:spacing w:line="276" w:lineRule="auto"/>
              <w:ind w:right="-1058"/>
              <w:rPr>
                <w:rFonts w:ascii="Arial" w:hAnsi="Arial" w:cs="Arial"/>
                <w:b/>
                <w:sz w:val="20"/>
                <w:szCs w:val="20"/>
                <w:u w:val="single"/>
              </w:rPr>
            </w:pPr>
            <w:hyperlink r:id="rId16" w:history="1">
              <w:r w:rsidR="00B70D77" w:rsidRPr="009E4F5C">
                <w:rPr>
                  <w:rStyle w:val="Hyperlink"/>
                  <w:rFonts w:ascii="Arial" w:hAnsi="Arial" w:cs="Arial"/>
                  <w:sz w:val="20"/>
                  <w:szCs w:val="20"/>
                </w:rPr>
                <w:t>www.congatec.com</w:t>
              </w:r>
            </w:hyperlink>
          </w:p>
        </w:tc>
        <w:tc>
          <w:tcPr>
            <w:tcW w:w="2551" w:type="dxa"/>
            <w:shd w:val="clear" w:color="auto" w:fill="auto"/>
          </w:tcPr>
          <w:p w:rsidR="00B70D77" w:rsidRPr="009E4F5C" w:rsidRDefault="00B70D77" w:rsidP="00540B86">
            <w:pPr>
              <w:pStyle w:val="Standard1"/>
              <w:snapToGrid w:val="0"/>
              <w:spacing w:line="276" w:lineRule="auto"/>
              <w:rPr>
                <w:rFonts w:ascii="Arial" w:hAnsi="Arial" w:cs="Arial"/>
                <w:b/>
                <w:sz w:val="20"/>
                <w:szCs w:val="20"/>
              </w:rPr>
            </w:pPr>
            <w:r w:rsidRPr="009E4F5C">
              <w:rPr>
                <w:rFonts w:ascii="Arial" w:hAnsi="Arial" w:cs="Arial"/>
                <w:b/>
                <w:sz w:val="20"/>
                <w:szCs w:val="20"/>
              </w:rPr>
              <w:t>Pressekontakt:</w:t>
            </w:r>
          </w:p>
          <w:p w:rsidR="00B70D77" w:rsidRPr="009E4F5C" w:rsidRDefault="00B70D77" w:rsidP="00540B86">
            <w:pPr>
              <w:pStyle w:val="Standard1"/>
              <w:snapToGrid w:val="0"/>
              <w:spacing w:line="276" w:lineRule="auto"/>
              <w:rPr>
                <w:rFonts w:ascii="Arial" w:hAnsi="Arial" w:cs="Arial"/>
                <w:sz w:val="20"/>
                <w:szCs w:val="20"/>
              </w:rPr>
            </w:pPr>
            <w:r w:rsidRPr="009E4F5C">
              <w:rPr>
                <w:rFonts w:ascii="Arial" w:hAnsi="Arial" w:cs="Arial"/>
                <w:sz w:val="20"/>
                <w:szCs w:val="20"/>
              </w:rPr>
              <w:t>SAMS Network</w:t>
            </w:r>
          </w:p>
          <w:p w:rsidR="00B70D77" w:rsidRPr="009E4F5C" w:rsidRDefault="00B70D77" w:rsidP="00540B86">
            <w:pPr>
              <w:pStyle w:val="Standard1"/>
              <w:snapToGrid w:val="0"/>
              <w:spacing w:line="276" w:lineRule="auto"/>
              <w:rPr>
                <w:rFonts w:ascii="Arial" w:hAnsi="Arial" w:cs="Arial"/>
                <w:sz w:val="20"/>
                <w:szCs w:val="20"/>
              </w:rPr>
            </w:pPr>
            <w:r w:rsidRPr="009E4F5C">
              <w:rPr>
                <w:rFonts w:ascii="Arial" w:hAnsi="Arial" w:cs="Arial"/>
                <w:sz w:val="20"/>
                <w:szCs w:val="20"/>
              </w:rPr>
              <w:t>Michael Hennen</w:t>
            </w:r>
          </w:p>
          <w:p w:rsidR="00B70D77" w:rsidRPr="009E4F5C" w:rsidRDefault="00B70D77" w:rsidP="00540B86">
            <w:pPr>
              <w:pStyle w:val="Standard1"/>
              <w:snapToGrid w:val="0"/>
              <w:spacing w:line="276" w:lineRule="auto"/>
              <w:rPr>
                <w:rFonts w:ascii="Arial" w:hAnsi="Arial" w:cs="Arial"/>
                <w:sz w:val="20"/>
                <w:szCs w:val="20"/>
              </w:rPr>
            </w:pPr>
            <w:r w:rsidRPr="009E4F5C">
              <w:rPr>
                <w:rFonts w:ascii="Arial" w:hAnsi="Arial" w:cs="Arial"/>
                <w:sz w:val="20"/>
                <w:szCs w:val="20"/>
              </w:rPr>
              <w:t>Telefon: +49-2405-4526720</w:t>
            </w:r>
          </w:p>
          <w:p w:rsidR="00B70D77" w:rsidRPr="009E4F5C" w:rsidRDefault="001F01EF" w:rsidP="00540B86">
            <w:pPr>
              <w:pStyle w:val="Standard1"/>
              <w:snapToGrid w:val="0"/>
              <w:spacing w:line="276" w:lineRule="auto"/>
              <w:rPr>
                <w:rFonts w:ascii="Arial" w:hAnsi="Arial" w:cs="Arial"/>
                <w:sz w:val="20"/>
                <w:szCs w:val="20"/>
              </w:rPr>
            </w:pPr>
            <w:hyperlink r:id="rId17" w:history="1">
              <w:r w:rsidR="00B70D77" w:rsidRPr="009E4F5C">
                <w:rPr>
                  <w:rStyle w:val="Hyperlink"/>
                  <w:rFonts w:ascii="Arial" w:hAnsi="Arial" w:cs="Arial"/>
                  <w:sz w:val="20"/>
                  <w:szCs w:val="20"/>
                </w:rPr>
                <w:t>info@sams-network.com</w:t>
              </w:r>
            </w:hyperlink>
            <w:r w:rsidR="00B70D77" w:rsidRPr="009E4F5C">
              <w:rPr>
                <w:rFonts w:ascii="Arial" w:hAnsi="Arial" w:cs="Arial"/>
                <w:sz w:val="20"/>
                <w:szCs w:val="20"/>
              </w:rPr>
              <w:t xml:space="preserve"> </w:t>
            </w:r>
          </w:p>
          <w:p w:rsidR="00B70D77" w:rsidRPr="009E4F5C" w:rsidRDefault="001F01EF" w:rsidP="00540B86">
            <w:pPr>
              <w:pStyle w:val="Standard1"/>
              <w:snapToGrid w:val="0"/>
              <w:spacing w:line="276" w:lineRule="auto"/>
              <w:rPr>
                <w:rFonts w:ascii="Arial" w:hAnsi="Arial" w:cs="Arial"/>
                <w:b/>
                <w:sz w:val="20"/>
                <w:szCs w:val="20"/>
                <w:u w:val="single"/>
              </w:rPr>
            </w:pPr>
            <w:hyperlink r:id="rId18" w:history="1">
              <w:r w:rsidR="00B70D77" w:rsidRPr="009E4F5C">
                <w:rPr>
                  <w:rStyle w:val="Hyperlink"/>
                  <w:rFonts w:ascii="Arial" w:hAnsi="Arial" w:cs="Arial"/>
                  <w:sz w:val="20"/>
                  <w:szCs w:val="20"/>
                </w:rPr>
                <w:t>www.sams-network.com</w:t>
              </w:r>
            </w:hyperlink>
          </w:p>
        </w:tc>
      </w:tr>
    </w:tbl>
    <w:p w:rsidR="009C76DA" w:rsidRPr="009E4F5C" w:rsidRDefault="009C76DA" w:rsidP="009C76DA">
      <w:pPr>
        <w:pStyle w:val="Standard1"/>
        <w:rPr>
          <w:rFonts w:ascii="Arial" w:hAnsi="Arial" w:cs="Arial"/>
          <w:sz w:val="16"/>
          <w:szCs w:val="16"/>
        </w:rPr>
      </w:pPr>
    </w:p>
    <w:p w:rsidR="00B70D77" w:rsidRPr="009E4F5C" w:rsidRDefault="00B70D77" w:rsidP="009C76DA">
      <w:pPr>
        <w:pStyle w:val="Standard1"/>
        <w:rPr>
          <w:rFonts w:ascii="Arial" w:hAnsi="Arial" w:cs="Arial"/>
          <w:sz w:val="16"/>
          <w:szCs w:val="16"/>
        </w:rPr>
      </w:pPr>
    </w:p>
    <w:p w:rsidR="00B70D77" w:rsidRPr="009E4F5C" w:rsidRDefault="00B70D77" w:rsidP="00B70D77">
      <w:pPr>
        <w:pStyle w:val="Standard1"/>
        <w:rPr>
          <w:rFonts w:ascii="Arial" w:hAnsi="Arial" w:cs="Arial"/>
          <w:sz w:val="16"/>
          <w:szCs w:val="16"/>
        </w:rPr>
      </w:pPr>
      <w:r w:rsidRPr="009E4F5C">
        <w:rPr>
          <w:rFonts w:ascii="Arial" w:eastAsia="Times New Roman" w:hAnsi="Arial" w:cs="Arial"/>
          <w:sz w:val="16"/>
          <w:szCs w:val="16"/>
        </w:rPr>
        <w:t>Text und Foto verfügbar</w:t>
      </w:r>
      <w:r w:rsidRPr="009E4F5C">
        <w:rPr>
          <w:rFonts w:ascii="Arial" w:hAnsi="Arial" w:cs="Arial"/>
          <w:iCs/>
          <w:color w:val="000000"/>
          <w:sz w:val="16"/>
          <w:szCs w:val="16"/>
        </w:rPr>
        <w:t xml:space="preserve">: </w:t>
      </w:r>
      <w:hyperlink r:id="rId19" w:history="1">
        <w:r w:rsidRPr="009E4F5C">
          <w:rPr>
            <w:rStyle w:val="Hyperlink"/>
            <w:rFonts w:ascii="Arial" w:hAnsi="Arial" w:cs="Arial"/>
            <w:sz w:val="16"/>
            <w:szCs w:val="16"/>
          </w:rPr>
          <w:t>https://www.congatec.com/de/congatec/pressemitteilungen/</w:t>
        </w:r>
      </w:hyperlink>
    </w:p>
    <w:p w:rsidR="009C76DA" w:rsidRPr="009E4F5C" w:rsidRDefault="009C76DA" w:rsidP="009C76DA">
      <w:pPr>
        <w:pStyle w:val="Standard1"/>
        <w:rPr>
          <w:rFonts w:ascii="Arial" w:hAnsi="Arial" w:cs="Arial"/>
          <w:sz w:val="16"/>
          <w:szCs w:val="16"/>
        </w:rPr>
      </w:pPr>
    </w:p>
    <w:p w:rsidR="009C76DA" w:rsidRPr="009E4F5C" w:rsidRDefault="009C76DA" w:rsidP="00B70D77">
      <w:pPr>
        <w:pStyle w:val="Standard1"/>
        <w:rPr>
          <w:rFonts w:ascii="Arial" w:hAnsi="Arial" w:cs="Arial"/>
          <w:i/>
          <w:iCs/>
          <w:sz w:val="16"/>
          <w:szCs w:val="16"/>
        </w:rPr>
      </w:pPr>
      <w:r w:rsidRPr="009E4F5C">
        <w:rPr>
          <w:rFonts w:ascii="Arial" w:hAnsi="Arial" w:cs="Arial"/>
          <w:i/>
          <w:iCs/>
          <w:sz w:val="16"/>
          <w:szCs w:val="16"/>
        </w:rPr>
        <w:t>Intel, Core</w:t>
      </w:r>
      <w:r w:rsidR="00204ADF">
        <w:rPr>
          <w:rFonts w:ascii="Arial" w:hAnsi="Arial" w:cs="Arial"/>
          <w:i/>
          <w:iCs/>
          <w:sz w:val="16"/>
          <w:szCs w:val="16"/>
        </w:rPr>
        <w:t>,</w:t>
      </w:r>
      <w:r w:rsidRPr="009E4F5C">
        <w:rPr>
          <w:rFonts w:ascii="Arial" w:hAnsi="Arial" w:cs="Arial"/>
          <w:i/>
          <w:iCs/>
          <w:sz w:val="16"/>
          <w:szCs w:val="16"/>
        </w:rPr>
        <w:t xml:space="preserve"> </w:t>
      </w:r>
      <w:r w:rsidR="00204ADF">
        <w:rPr>
          <w:rFonts w:ascii="Arial" w:hAnsi="Arial" w:cs="Arial"/>
          <w:i/>
          <w:iCs/>
          <w:sz w:val="16"/>
          <w:szCs w:val="16"/>
        </w:rPr>
        <w:t xml:space="preserve">und </w:t>
      </w:r>
      <w:proofErr w:type="spellStart"/>
      <w:r w:rsidR="00204ADF" w:rsidRPr="00425179">
        <w:rPr>
          <w:rFonts w:ascii="Arial" w:hAnsi="Arial" w:cs="Arial"/>
          <w:sz w:val="16"/>
          <w:szCs w:val="16"/>
        </w:rPr>
        <w:t>OpenVINO</w:t>
      </w:r>
      <w:proofErr w:type="spellEnd"/>
      <w:r w:rsidR="00204ADF" w:rsidRPr="00425179">
        <w:rPr>
          <w:rFonts w:ascii="Arial" w:hAnsi="Arial" w:cs="Arial"/>
          <w:sz w:val="16"/>
          <w:szCs w:val="16"/>
        </w:rPr>
        <w:t xml:space="preserve"> </w:t>
      </w:r>
      <w:r w:rsidRPr="009E4F5C">
        <w:rPr>
          <w:rFonts w:ascii="Arial" w:hAnsi="Arial" w:cs="Arial"/>
          <w:i/>
          <w:iCs/>
          <w:sz w:val="16"/>
          <w:szCs w:val="16"/>
        </w:rPr>
        <w:t>Celeron sind Handelsmarken oder eingetragene Warenzeichen der Intel Corporation in den USA und anderen Ländern</w:t>
      </w:r>
    </w:p>
    <w:sectPr w:rsidR="009C76DA" w:rsidRPr="009E4F5C"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B37EE2" w15:done="0"/>
  <w15:commentEx w15:paraId="4BA316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9BC2" w16cex:dateUtc="2021-07-0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37EE2" w16cid:durableId="2492978C"/>
  <w16cid:commentId w16cid:paraId="4BA31656" w16cid:durableId="24929B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31" w:rsidRDefault="007A7D31" w:rsidP="00D97483">
      <w:r>
        <w:separator/>
      </w:r>
    </w:p>
  </w:endnote>
  <w:endnote w:type="continuationSeparator" w:id="0">
    <w:p w:rsidR="007A7D31" w:rsidRDefault="007A7D31"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C3" w:rsidRDefault="008D01C3"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31" w:rsidRDefault="007A7D31" w:rsidP="00D97483">
      <w:r>
        <w:separator/>
      </w:r>
    </w:p>
  </w:footnote>
  <w:footnote w:type="continuationSeparator" w:id="0">
    <w:p w:rsidR="007A7D31" w:rsidRDefault="007A7D31"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p w:rsidR="008D01C3" w:rsidRDefault="008D01C3" w:rsidP="00560BD7">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108AC"/>
    <w:rsid w:val="00003FA7"/>
    <w:rsid w:val="00006D58"/>
    <w:rsid w:val="00010369"/>
    <w:rsid w:val="00010745"/>
    <w:rsid w:val="00015BA8"/>
    <w:rsid w:val="00021457"/>
    <w:rsid w:val="00027983"/>
    <w:rsid w:val="00033F8F"/>
    <w:rsid w:val="000355AD"/>
    <w:rsid w:val="00035738"/>
    <w:rsid w:val="00042600"/>
    <w:rsid w:val="00042A68"/>
    <w:rsid w:val="00043787"/>
    <w:rsid w:val="00045E58"/>
    <w:rsid w:val="00047E06"/>
    <w:rsid w:val="00050C80"/>
    <w:rsid w:val="00050DF3"/>
    <w:rsid w:val="000553FB"/>
    <w:rsid w:val="0006483E"/>
    <w:rsid w:val="00074F95"/>
    <w:rsid w:val="000751E5"/>
    <w:rsid w:val="00086C00"/>
    <w:rsid w:val="0009529F"/>
    <w:rsid w:val="00096758"/>
    <w:rsid w:val="0009734E"/>
    <w:rsid w:val="000A1392"/>
    <w:rsid w:val="000A30F4"/>
    <w:rsid w:val="000A394C"/>
    <w:rsid w:val="000A4662"/>
    <w:rsid w:val="000A4B1D"/>
    <w:rsid w:val="000B53F9"/>
    <w:rsid w:val="000B6F0B"/>
    <w:rsid w:val="000C0962"/>
    <w:rsid w:val="000D16E1"/>
    <w:rsid w:val="000D66D4"/>
    <w:rsid w:val="000D68BA"/>
    <w:rsid w:val="000E2307"/>
    <w:rsid w:val="000E395C"/>
    <w:rsid w:val="000E736A"/>
    <w:rsid w:val="000F15EB"/>
    <w:rsid w:val="000F34E8"/>
    <w:rsid w:val="00100CE2"/>
    <w:rsid w:val="00101DF6"/>
    <w:rsid w:val="00105BFE"/>
    <w:rsid w:val="0011134D"/>
    <w:rsid w:val="00123D77"/>
    <w:rsid w:val="00130B67"/>
    <w:rsid w:val="00132DD8"/>
    <w:rsid w:val="00135EBC"/>
    <w:rsid w:val="00136E20"/>
    <w:rsid w:val="00143FFB"/>
    <w:rsid w:val="0014653E"/>
    <w:rsid w:val="0014730F"/>
    <w:rsid w:val="001478B3"/>
    <w:rsid w:val="00157343"/>
    <w:rsid w:val="00175EB3"/>
    <w:rsid w:val="00181222"/>
    <w:rsid w:val="00184D6F"/>
    <w:rsid w:val="001854B5"/>
    <w:rsid w:val="00187AFE"/>
    <w:rsid w:val="00191F41"/>
    <w:rsid w:val="00194446"/>
    <w:rsid w:val="001A277C"/>
    <w:rsid w:val="001B0700"/>
    <w:rsid w:val="001B6B34"/>
    <w:rsid w:val="001C0038"/>
    <w:rsid w:val="001D055C"/>
    <w:rsid w:val="001E2E5F"/>
    <w:rsid w:val="001E3D01"/>
    <w:rsid w:val="001E4FB1"/>
    <w:rsid w:val="001E7371"/>
    <w:rsid w:val="001F01EF"/>
    <w:rsid w:val="00204ADF"/>
    <w:rsid w:val="002065F2"/>
    <w:rsid w:val="00212286"/>
    <w:rsid w:val="00223722"/>
    <w:rsid w:val="00230509"/>
    <w:rsid w:val="00231F74"/>
    <w:rsid w:val="002368AC"/>
    <w:rsid w:val="002376DB"/>
    <w:rsid w:val="002571A3"/>
    <w:rsid w:val="0025796B"/>
    <w:rsid w:val="00265C83"/>
    <w:rsid w:val="002676D1"/>
    <w:rsid w:val="00286CC1"/>
    <w:rsid w:val="002872D2"/>
    <w:rsid w:val="00292D50"/>
    <w:rsid w:val="0029792A"/>
    <w:rsid w:val="00297A5C"/>
    <w:rsid w:val="002A1662"/>
    <w:rsid w:val="002A6501"/>
    <w:rsid w:val="002A7A02"/>
    <w:rsid w:val="002B14DE"/>
    <w:rsid w:val="002B4B21"/>
    <w:rsid w:val="002B5DD9"/>
    <w:rsid w:val="002B744B"/>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37A59"/>
    <w:rsid w:val="0034162E"/>
    <w:rsid w:val="0034266E"/>
    <w:rsid w:val="003500D9"/>
    <w:rsid w:val="00353816"/>
    <w:rsid w:val="00353C44"/>
    <w:rsid w:val="0035632F"/>
    <w:rsid w:val="00360338"/>
    <w:rsid w:val="00361541"/>
    <w:rsid w:val="0036345B"/>
    <w:rsid w:val="003674FC"/>
    <w:rsid w:val="00371CDB"/>
    <w:rsid w:val="003800B6"/>
    <w:rsid w:val="00381183"/>
    <w:rsid w:val="003839C2"/>
    <w:rsid w:val="003853EC"/>
    <w:rsid w:val="00385A11"/>
    <w:rsid w:val="00386E85"/>
    <w:rsid w:val="00394EEA"/>
    <w:rsid w:val="003A0171"/>
    <w:rsid w:val="003A7091"/>
    <w:rsid w:val="003B002F"/>
    <w:rsid w:val="003B42A5"/>
    <w:rsid w:val="003B7234"/>
    <w:rsid w:val="003B7808"/>
    <w:rsid w:val="003C513C"/>
    <w:rsid w:val="003D0210"/>
    <w:rsid w:val="003D4675"/>
    <w:rsid w:val="003D5ED4"/>
    <w:rsid w:val="003E397A"/>
    <w:rsid w:val="003E6413"/>
    <w:rsid w:val="003E64B3"/>
    <w:rsid w:val="003F3269"/>
    <w:rsid w:val="003F62FC"/>
    <w:rsid w:val="00413FB9"/>
    <w:rsid w:val="00425179"/>
    <w:rsid w:val="00431604"/>
    <w:rsid w:val="00431F25"/>
    <w:rsid w:val="00443C7F"/>
    <w:rsid w:val="00446472"/>
    <w:rsid w:val="00450C5C"/>
    <w:rsid w:val="00451C75"/>
    <w:rsid w:val="00451E34"/>
    <w:rsid w:val="00455A76"/>
    <w:rsid w:val="00462316"/>
    <w:rsid w:val="00466A57"/>
    <w:rsid w:val="00475771"/>
    <w:rsid w:val="00476500"/>
    <w:rsid w:val="00480CD4"/>
    <w:rsid w:val="004841F7"/>
    <w:rsid w:val="0048544A"/>
    <w:rsid w:val="00490E6A"/>
    <w:rsid w:val="004930EB"/>
    <w:rsid w:val="004A2EEC"/>
    <w:rsid w:val="004A6525"/>
    <w:rsid w:val="004B1541"/>
    <w:rsid w:val="004B4B85"/>
    <w:rsid w:val="004D2177"/>
    <w:rsid w:val="004D3BA0"/>
    <w:rsid w:val="004D7F6A"/>
    <w:rsid w:val="004E18C3"/>
    <w:rsid w:val="004E7996"/>
    <w:rsid w:val="004F08CB"/>
    <w:rsid w:val="005168E6"/>
    <w:rsid w:val="00527922"/>
    <w:rsid w:val="00530304"/>
    <w:rsid w:val="005368EB"/>
    <w:rsid w:val="00540B86"/>
    <w:rsid w:val="005502A5"/>
    <w:rsid w:val="0055046D"/>
    <w:rsid w:val="0055155D"/>
    <w:rsid w:val="0055706B"/>
    <w:rsid w:val="00560BD7"/>
    <w:rsid w:val="005674E1"/>
    <w:rsid w:val="0058053F"/>
    <w:rsid w:val="00585F34"/>
    <w:rsid w:val="00586B7C"/>
    <w:rsid w:val="005876A1"/>
    <w:rsid w:val="005905AA"/>
    <w:rsid w:val="005A1F25"/>
    <w:rsid w:val="005A656D"/>
    <w:rsid w:val="005B031E"/>
    <w:rsid w:val="005B049C"/>
    <w:rsid w:val="005B4653"/>
    <w:rsid w:val="005C0953"/>
    <w:rsid w:val="005C35E2"/>
    <w:rsid w:val="005C585A"/>
    <w:rsid w:val="005C6F13"/>
    <w:rsid w:val="005D0E7E"/>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0ED1"/>
    <w:rsid w:val="00635478"/>
    <w:rsid w:val="00640D57"/>
    <w:rsid w:val="00640FFB"/>
    <w:rsid w:val="006422FA"/>
    <w:rsid w:val="0064417B"/>
    <w:rsid w:val="00650D54"/>
    <w:rsid w:val="0065545E"/>
    <w:rsid w:val="006578A1"/>
    <w:rsid w:val="00662AB5"/>
    <w:rsid w:val="00664028"/>
    <w:rsid w:val="00667B3E"/>
    <w:rsid w:val="0067240C"/>
    <w:rsid w:val="00673527"/>
    <w:rsid w:val="00690ECD"/>
    <w:rsid w:val="0069359A"/>
    <w:rsid w:val="006A1238"/>
    <w:rsid w:val="006A1254"/>
    <w:rsid w:val="006A3CB0"/>
    <w:rsid w:val="006A6542"/>
    <w:rsid w:val="006B0EE9"/>
    <w:rsid w:val="006C3B8A"/>
    <w:rsid w:val="006C45B4"/>
    <w:rsid w:val="006D162D"/>
    <w:rsid w:val="006E2433"/>
    <w:rsid w:val="006E3A49"/>
    <w:rsid w:val="006E3B67"/>
    <w:rsid w:val="006E4456"/>
    <w:rsid w:val="006E78FC"/>
    <w:rsid w:val="006E7CDD"/>
    <w:rsid w:val="006F2F40"/>
    <w:rsid w:val="006F35F5"/>
    <w:rsid w:val="006F6952"/>
    <w:rsid w:val="006F6D7D"/>
    <w:rsid w:val="00703F23"/>
    <w:rsid w:val="00706359"/>
    <w:rsid w:val="00706CDC"/>
    <w:rsid w:val="007074D1"/>
    <w:rsid w:val="00707ECC"/>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4C0E"/>
    <w:rsid w:val="0077601C"/>
    <w:rsid w:val="00776AE3"/>
    <w:rsid w:val="00784949"/>
    <w:rsid w:val="0078770A"/>
    <w:rsid w:val="007923DD"/>
    <w:rsid w:val="0079344C"/>
    <w:rsid w:val="007A073A"/>
    <w:rsid w:val="007A1EAB"/>
    <w:rsid w:val="007A2C40"/>
    <w:rsid w:val="007A3A88"/>
    <w:rsid w:val="007A7D31"/>
    <w:rsid w:val="007B794A"/>
    <w:rsid w:val="007C46E3"/>
    <w:rsid w:val="007C5914"/>
    <w:rsid w:val="007D14C8"/>
    <w:rsid w:val="007D1C15"/>
    <w:rsid w:val="007E0AEB"/>
    <w:rsid w:val="007E5156"/>
    <w:rsid w:val="007E752C"/>
    <w:rsid w:val="007F3D6F"/>
    <w:rsid w:val="007F48EE"/>
    <w:rsid w:val="007F7A39"/>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01C3"/>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4F5C"/>
    <w:rsid w:val="009E5E22"/>
    <w:rsid w:val="009F1BCA"/>
    <w:rsid w:val="009F1E40"/>
    <w:rsid w:val="009F4667"/>
    <w:rsid w:val="009F5C8A"/>
    <w:rsid w:val="00A02AE7"/>
    <w:rsid w:val="00A12150"/>
    <w:rsid w:val="00A12F2D"/>
    <w:rsid w:val="00A157F2"/>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C3B91"/>
    <w:rsid w:val="00AD2B3D"/>
    <w:rsid w:val="00AD3AE0"/>
    <w:rsid w:val="00AD560F"/>
    <w:rsid w:val="00AD6B52"/>
    <w:rsid w:val="00AE6368"/>
    <w:rsid w:val="00AF60DB"/>
    <w:rsid w:val="00B000CE"/>
    <w:rsid w:val="00B0043C"/>
    <w:rsid w:val="00B0389C"/>
    <w:rsid w:val="00B14955"/>
    <w:rsid w:val="00B2216B"/>
    <w:rsid w:val="00B33182"/>
    <w:rsid w:val="00B37B7A"/>
    <w:rsid w:val="00B416C3"/>
    <w:rsid w:val="00B515F0"/>
    <w:rsid w:val="00B56D4A"/>
    <w:rsid w:val="00B62671"/>
    <w:rsid w:val="00B638FF"/>
    <w:rsid w:val="00B70D77"/>
    <w:rsid w:val="00B74386"/>
    <w:rsid w:val="00B76850"/>
    <w:rsid w:val="00B80F88"/>
    <w:rsid w:val="00B845D4"/>
    <w:rsid w:val="00B86632"/>
    <w:rsid w:val="00B86D2C"/>
    <w:rsid w:val="00B8731A"/>
    <w:rsid w:val="00B93BA5"/>
    <w:rsid w:val="00B94688"/>
    <w:rsid w:val="00B95301"/>
    <w:rsid w:val="00B96ED0"/>
    <w:rsid w:val="00BA1CB0"/>
    <w:rsid w:val="00BA5EC5"/>
    <w:rsid w:val="00BA651B"/>
    <w:rsid w:val="00BB162F"/>
    <w:rsid w:val="00BB3BA7"/>
    <w:rsid w:val="00BD19FC"/>
    <w:rsid w:val="00BD26D1"/>
    <w:rsid w:val="00BD4A92"/>
    <w:rsid w:val="00BE6A4C"/>
    <w:rsid w:val="00C07938"/>
    <w:rsid w:val="00C1056E"/>
    <w:rsid w:val="00C1254F"/>
    <w:rsid w:val="00C178C8"/>
    <w:rsid w:val="00C25E9F"/>
    <w:rsid w:val="00C42100"/>
    <w:rsid w:val="00C42465"/>
    <w:rsid w:val="00C51840"/>
    <w:rsid w:val="00C64C06"/>
    <w:rsid w:val="00C67E97"/>
    <w:rsid w:val="00C80E04"/>
    <w:rsid w:val="00C83D12"/>
    <w:rsid w:val="00C87AB3"/>
    <w:rsid w:val="00C958C5"/>
    <w:rsid w:val="00C9595F"/>
    <w:rsid w:val="00C96F92"/>
    <w:rsid w:val="00CA0D75"/>
    <w:rsid w:val="00CA299D"/>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1BF2"/>
    <w:rsid w:val="00D13C53"/>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6622"/>
    <w:rsid w:val="00D75EA8"/>
    <w:rsid w:val="00D82DFF"/>
    <w:rsid w:val="00D97483"/>
    <w:rsid w:val="00DA2F1F"/>
    <w:rsid w:val="00DA4058"/>
    <w:rsid w:val="00DA4873"/>
    <w:rsid w:val="00DA4C3D"/>
    <w:rsid w:val="00DA57D6"/>
    <w:rsid w:val="00DA651B"/>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0BF6"/>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4172"/>
    <w:rsid w:val="00F05189"/>
    <w:rsid w:val="00F0567D"/>
    <w:rsid w:val="00F074A1"/>
    <w:rsid w:val="00F14FAA"/>
    <w:rsid w:val="00F23DFC"/>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4A53"/>
    <w:rsid w:val="00F6729F"/>
    <w:rsid w:val="00F76F29"/>
    <w:rsid w:val="00F80D86"/>
    <w:rsid w:val="00F814C1"/>
    <w:rsid w:val="00F82D3E"/>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D506B"/>
    <w:rsid w:val="00FD57F4"/>
    <w:rsid w:val="00FD59D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7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0D16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16E1"/>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8" Type="http://schemas.openxmlformats.org/officeDocument/2006/relationships/hyperlink" Target="http://www.sams-network.co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7" Type="http://schemas.openxmlformats.org/officeDocument/2006/relationships/hyperlink" Target="mailto:info@sams-network.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congatec.com/11th-gen-intel-core/" TargetMode="External"/><Relationship Id="rId19" Type="http://schemas.openxmlformats.org/officeDocument/2006/relationships/hyperlink" Target="https://www.congatec.com/de/congatec/pressemitteilu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6556E-AC0B-47CD-B949-D3D4DF2D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Nadine Schiele</cp:lastModifiedBy>
  <cp:revision>7</cp:revision>
  <cp:lastPrinted>2020-12-07T11:00:00Z</cp:lastPrinted>
  <dcterms:created xsi:type="dcterms:W3CDTF">2021-07-09T08:13:00Z</dcterms:created>
  <dcterms:modified xsi:type="dcterms:W3CDTF">2021-07-13T07:23:00Z</dcterms:modified>
</cp:coreProperties>
</file>