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1" w:rsidRPr="004555C9" w:rsidRDefault="004B35A4" w:rsidP="00BD2850">
      <w:pPr>
        <w:pStyle w:val="berschrift1"/>
        <w:rPr>
          <w:noProof w:val="0"/>
        </w:rPr>
      </w:pPr>
      <w:r w:rsidRPr="004555C9">
        <w:rPr>
          <w:noProof w:val="0"/>
        </w:rPr>
        <w:t xml:space="preserve">Press release </w:t>
      </w:r>
      <w:r w:rsidR="00B62671" w:rsidRPr="004555C9">
        <w:rPr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8C5" w:rsidRPr="004555C9" w:rsidRDefault="00C958C5" w:rsidP="00BD2850">
      <w:pPr>
        <w:pStyle w:val="berschrift1"/>
        <w:rPr>
          <w:noProof w:val="0"/>
        </w:rPr>
      </w:pPr>
    </w:p>
    <w:p w:rsidR="00C958C5" w:rsidRPr="004555C9" w:rsidRDefault="00C958C5" w:rsidP="00BD2850">
      <w:pPr>
        <w:pStyle w:val="berschrift1"/>
        <w:rPr>
          <w:noProof w:val="0"/>
        </w:rPr>
      </w:pPr>
    </w:p>
    <w:p w:rsidR="000C032B" w:rsidRPr="004555C9" w:rsidRDefault="00070990" w:rsidP="000C032B">
      <w:pPr>
        <w:tabs>
          <w:tab w:val="left" w:pos="709"/>
        </w:tabs>
        <w:rPr>
          <w:rFonts w:cs="Arial"/>
          <w:lang w:val="en-US"/>
        </w:rPr>
      </w:pPr>
      <w:r w:rsidRPr="004555C9">
        <w:rPr>
          <w:rFonts w:cs="Arial"/>
          <w:lang w:val="en-US"/>
        </w:rPr>
        <w:t>N</w:t>
      </w:r>
      <w:r w:rsidR="000C032B" w:rsidRPr="004555C9">
        <w:rPr>
          <w:rFonts w:cs="Arial"/>
          <w:lang w:val="en-US"/>
        </w:rPr>
        <w:t xml:space="preserve">ew </w:t>
      </w:r>
      <w:r w:rsidR="00EE5621" w:rsidRPr="004555C9">
        <w:rPr>
          <w:rFonts w:cs="Arial"/>
          <w:lang w:val="en-US"/>
        </w:rPr>
        <w:t>ultra</w:t>
      </w:r>
      <w:r w:rsidR="0092289C" w:rsidRPr="004555C9">
        <w:rPr>
          <w:rFonts w:cs="Arial"/>
          <w:lang w:val="en-US"/>
        </w:rPr>
        <w:t>-</w:t>
      </w:r>
      <w:r w:rsidR="00EE5621" w:rsidRPr="004555C9">
        <w:rPr>
          <w:rFonts w:cs="Arial"/>
          <w:lang w:val="en-US"/>
        </w:rPr>
        <w:t xml:space="preserve">rugged </w:t>
      </w:r>
      <w:r w:rsidR="000C032B" w:rsidRPr="004555C9">
        <w:rPr>
          <w:rFonts w:cs="Arial"/>
          <w:lang w:val="en-US"/>
        </w:rPr>
        <w:t>11th Gen Intel</w:t>
      </w:r>
      <w:r w:rsidR="000C032B" w:rsidRPr="004555C9">
        <w:rPr>
          <w:rFonts w:cs="Arial"/>
          <w:vertAlign w:val="superscript"/>
          <w:lang w:val="en-US"/>
        </w:rPr>
        <w:t>®</w:t>
      </w:r>
      <w:r w:rsidR="000C032B" w:rsidRPr="004555C9">
        <w:rPr>
          <w:rFonts w:cs="Arial"/>
          <w:lang w:val="en-US"/>
        </w:rPr>
        <w:t xml:space="preserve"> Core</w:t>
      </w:r>
      <w:r w:rsidR="000C032B" w:rsidRPr="004555C9">
        <w:rPr>
          <w:rFonts w:cs="Arial"/>
          <w:vertAlign w:val="superscript"/>
          <w:lang w:val="en-US"/>
        </w:rPr>
        <w:t>®</w:t>
      </w:r>
      <w:r w:rsidR="000C032B" w:rsidRPr="004555C9">
        <w:rPr>
          <w:rFonts w:cs="Arial"/>
          <w:lang w:val="en-US"/>
        </w:rPr>
        <w:t xml:space="preserve"> </w:t>
      </w:r>
      <w:r w:rsidR="0092289C" w:rsidRPr="004555C9">
        <w:rPr>
          <w:rFonts w:cs="Arial"/>
          <w:lang w:val="en-US"/>
        </w:rPr>
        <w:t xml:space="preserve">congatec </w:t>
      </w:r>
      <w:r w:rsidR="000C032B" w:rsidRPr="004555C9">
        <w:rPr>
          <w:rFonts w:cs="Arial"/>
          <w:lang w:val="en-US"/>
        </w:rPr>
        <w:t>modules with soldered RAM</w:t>
      </w:r>
    </w:p>
    <w:p w:rsidR="000C032B" w:rsidRPr="004555C9" w:rsidRDefault="000C032B" w:rsidP="000C032B">
      <w:pPr>
        <w:rPr>
          <w:rFonts w:cs="Arial"/>
          <w:sz w:val="28"/>
          <w:szCs w:val="28"/>
          <w:lang w:val="en-US"/>
        </w:rPr>
      </w:pPr>
    </w:p>
    <w:p w:rsidR="000C032B" w:rsidRPr="004555C9" w:rsidRDefault="000C032B" w:rsidP="000C032B">
      <w:pPr>
        <w:rPr>
          <w:rFonts w:cs="Arial"/>
          <w:b/>
          <w:bCs/>
          <w:sz w:val="36"/>
          <w:szCs w:val="36"/>
          <w:highlight w:val="yellow"/>
          <w:lang w:val="en-US"/>
        </w:rPr>
      </w:pPr>
      <w:r w:rsidRPr="004555C9">
        <w:rPr>
          <w:rFonts w:cs="Arial"/>
          <w:b/>
          <w:bCs/>
          <w:sz w:val="36"/>
          <w:szCs w:val="36"/>
          <w:lang w:val="en-US"/>
        </w:rPr>
        <w:t>Shock and vibration resistant</w:t>
      </w:r>
    </w:p>
    <w:p w:rsidR="00C71636" w:rsidRDefault="00790C02" w:rsidP="008D6385">
      <w:pPr>
        <w:rPr>
          <w:rFonts w:cs="Arial"/>
          <w:b/>
          <w:szCs w:val="22"/>
          <w:lang w:val="en-US"/>
        </w:rPr>
      </w:pPr>
      <w:r w:rsidRPr="00790C02">
        <w:rPr>
          <w:rFonts w:cs="Arial"/>
          <w:b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2pt;height:283.4pt">
            <v:imagedata r:id="rId10" o:title="congatec-TC570-rugged"/>
          </v:shape>
        </w:pict>
      </w:r>
    </w:p>
    <w:p w:rsidR="000E343D" w:rsidRDefault="000E343D" w:rsidP="00E3179C">
      <w:pPr>
        <w:rPr>
          <w:rFonts w:cs="Arial"/>
          <w:b/>
          <w:szCs w:val="22"/>
          <w:lang w:val="en-US"/>
        </w:rPr>
      </w:pPr>
    </w:p>
    <w:p w:rsidR="008D6385" w:rsidRPr="00E3179C" w:rsidRDefault="008D6385" w:rsidP="00E3179C">
      <w:pPr>
        <w:rPr>
          <w:rFonts w:cs="Arial"/>
          <w:szCs w:val="22"/>
          <w:lang w:val="en-US"/>
        </w:rPr>
      </w:pPr>
      <w:proofErr w:type="spellStart"/>
      <w:r w:rsidRPr="00E3179C">
        <w:rPr>
          <w:rFonts w:cs="Arial"/>
          <w:b/>
          <w:szCs w:val="22"/>
          <w:lang w:val="en-US"/>
        </w:rPr>
        <w:t>Deggendorf</w:t>
      </w:r>
      <w:proofErr w:type="spellEnd"/>
      <w:r w:rsidRPr="00E3179C">
        <w:rPr>
          <w:rFonts w:cs="Arial"/>
          <w:b/>
          <w:szCs w:val="22"/>
          <w:lang w:val="en-US"/>
        </w:rPr>
        <w:t xml:space="preserve">, Germany, </w:t>
      </w:r>
      <w:r w:rsidR="007F0D28">
        <w:rPr>
          <w:rFonts w:cs="Arial"/>
          <w:b/>
          <w:szCs w:val="22"/>
          <w:lang w:val="en-US"/>
        </w:rPr>
        <w:t>14</w:t>
      </w:r>
      <w:r w:rsidR="007F0D28" w:rsidRPr="00E3179C">
        <w:rPr>
          <w:rFonts w:cs="Arial"/>
          <w:b/>
          <w:szCs w:val="22"/>
          <w:lang w:val="en-US"/>
        </w:rPr>
        <w:t xml:space="preserve"> </w:t>
      </w:r>
      <w:r w:rsidRPr="00E3179C">
        <w:rPr>
          <w:rFonts w:cs="Arial"/>
          <w:b/>
          <w:szCs w:val="22"/>
          <w:lang w:val="en-US"/>
        </w:rPr>
        <w:t>July 2021 * * *</w:t>
      </w:r>
      <w:r w:rsidRPr="00E3179C">
        <w:rPr>
          <w:rFonts w:cs="Arial"/>
          <w:szCs w:val="22"/>
          <w:lang w:val="en-US"/>
        </w:rPr>
        <w:t xml:space="preserve"> congatec – a leading vendor of embedded and edge computing technology – introduces new 11</w:t>
      </w:r>
      <w:r w:rsidRPr="00E3179C">
        <w:rPr>
          <w:rFonts w:cs="Arial"/>
          <w:kern w:val="22"/>
          <w:szCs w:val="22"/>
          <w:lang w:val="en-US"/>
        </w:rPr>
        <w:t>th</w:t>
      </w:r>
      <w:r w:rsidRPr="00E3179C">
        <w:rPr>
          <w:rFonts w:cs="Arial"/>
          <w:szCs w:val="22"/>
          <w:lang w:val="en-US"/>
        </w:rPr>
        <w:t xml:space="preserve"> Gen Intel</w:t>
      </w:r>
      <w:r w:rsidR="009561C0" w:rsidRPr="00E3179C">
        <w:rPr>
          <w:rFonts w:cs="Arial"/>
          <w:szCs w:val="22"/>
          <w:vertAlign w:val="superscript"/>
          <w:lang w:val="en-US"/>
        </w:rPr>
        <w:t>®</w:t>
      </w:r>
      <w:r w:rsidRPr="00E3179C">
        <w:rPr>
          <w:rFonts w:cs="Arial"/>
          <w:szCs w:val="22"/>
          <w:lang w:val="en-US"/>
        </w:rPr>
        <w:t xml:space="preserve"> Core</w:t>
      </w:r>
      <w:r w:rsidR="009561C0" w:rsidRPr="00E3179C">
        <w:rPr>
          <w:rFonts w:cs="Arial"/>
          <w:szCs w:val="22"/>
          <w:vertAlign w:val="superscript"/>
          <w:lang w:val="en-US"/>
        </w:rPr>
        <w:t>®</w:t>
      </w:r>
      <w:r w:rsidRPr="00E3179C">
        <w:rPr>
          <w:rFonts w:cs="Arial"/>
          <w:szCs w:val="22"/>
          <w:lang w:val="en-US"/>
        </w:rPr>
        <w:t xml:space="preserve"> processor based Computer-on-Modules with soldered RAM for highest shock and vibration resistance. </w:t>
      </w:r>
      <w:r w:rsidR="00C738B4" w:rsidRPr="00E3179C">
        <w:rPr>
          <w:rFonts w:cs="Arial"/>
          <w:szCs w:val="22"/>
          <w:lang w:val="en-US"/>
        </w:rPr>
        <w:t>D</w:t>
      </w:r>
      <w:r w:rsidRPr="00E3179C">
        <w:rPr>
          <w:rFonts w:cs="Arial"/>
          <w:szCs w:val="22"/>
          <w:lang w:val="en-US"/>
        </w:rPr>
        <w:t>esigned to withstand even extreme temperature</w:t>
      </w:r>
      <w:r w:rsidR="00C738B4" w:rsidRPr="00E3179C">
        <w:rPr>
          <w:rFonts w:cs="Arial"/>
          <w:szCs w:val="22"/>
          <w:lang w:val="en-US"/>
        </w:rPr>
        <w:t xml:space="preserve"> ranges</w:t>
      </w:r>
      <w:r w:rsidRPr="00E3179C">
        <w:rPr>
          <w:rFonts w:cs="Arial"/>
          <w:szCs w:val="22"/>
          <w:lang w:val="en-US"/>
        </w:rPr>
        <w:t xml:space="preserve"> </w:t>
      </w:r>
      <w:r w:rsidR="00A4208B" w:rsidRPr="00E3179C">
        <w:rPr>
          <w:rFonts w:cs="Arial"/>
          <w:szCs w:val="22"/>
          <w:lang w:val="en-US"/>
        </w:rPr>
        <w:t>of</w:t>
      </w:r>
      <w:r w:rsidR="00C738B4" w:rsidRPr="00E3179C">
        <w:rPr>
          <w:rFonts w:cs="Arial"/>
          <w:szCs w:val="22"/>
          <w:lang w:val="en-US"/>
        </w:rPr>
        <w:t xml:space="preserve"> </w:t>
      </w:r>
      <w:r w:rsidRPr="00E3179C">
        <w:rPr>
          <w:rFonts w:cs="Arial"/>
          <w:szCs w:val="22"/>
          <w:lang w:val="en-US"/>
        </w:rPr>
        <w:t>-40</w:t>
      </w:r>
      <w:r w:rsidR="003948CA" w:rsidRPr="00E3179C">
        <w:rPr>
          <w:rFonts w:cs="Arial"/>
          <w:szCs w:val="22"/>
          <w:lang w:val="en-US"/>
        </w:rPr>
        <w:t>°</w:t>
      </w:r>
      <w:r w:rsidR="00CD5B3B" w:rsidRPr="00E3179C">
        <w:rPr>
          <w:rFonts w:cs="Arial"/>
          <w:szCs w:val="22"/>
          <w:lang w:val="en-US"/>
        </w:rPr>
        <w:t>C</w:t>
      </w:r>
      <w:r w:rsidRPr="00E3179C">
        <w:rPr>
          <w:rFonts w:cs="Arial"/>
          <w:szCs w:val="22"/>
          <w:lang w:val="en-US"/>
        </w:rPr>
        <w:t xml:space="preserve"> to +85°C, the new COM Express Type 6 Computer-on-Modules provide </w:t>
      </w:r>
      <w:r w:rsidR="007440EE">
        <w:rPr>
          <w:rFonts w:cs="Arial"/>
          <w:szCs w:val="22"/>
          <w:lang w:val="en-US"/>
        </w:rPr>
        <w:t xml:space="preserve">full </w:t>
      </w:r>
      <w:r w:rsidR="00C738B4" w:rsidRPr="00E3179C">
        <w:rPr>
          <w:lang w:val="en-US"/>
        </w:rPr>
        <w:t xml:space="preserve">compliance </w:t>
      </w:r>
      <w:r w:rsidRPr="00E3179C">
        <w:rPr>
          <w:rFonts w:cs="Arial"/>
          <w:szCs w:val="22"/>
          <w:lang w:val="en-US"/>
        </w:rPr>
        <w:t xml:space="preserve">for shock and vibration resistant operation </w:t>
      </w:r>
      <w:r w:rsidR="00A9129A" w:rsidRPr="00E3179C">
        <w:rPr>
          <w:rFonts w:cs="Arial"/>
          <w:szCs w:val="22"/>
          <w:lang w:val="en-US"/>
        </w:rPr>
        <w:t>in challenging</w:t>
      </w:r>
      <w:r w:rsidR="00C738B4" w:rsidRPr="00E3179C">
        <w:rPr>
          <w:rFonts w:cs="Arial"/>
          <w:szCs w:val="22"/>
          <w:lang w:val="en-US"/>
        </w:rPr>
        <w:t xml:space="preserve"> </w:t>
      </w:r>
      <w:r w:rsidR="00A9129A" w:rsidRPr="00E3179C">
        <w:rPr>
          <w:rFonts w:cs="Arial"/>
          <w:szCs w:val="22"/>
          <w:lang w:val="en-US"/>
        </w:rPr>
        <w:t xml:space="preserve">transportation and mobility </w:t>
      </w:r>
      <w:r w:rsidR="00C738B4" w:rsidRPr="00E3179C">
        <w:rPr>
          <w:rFonts w:cs="Arial"/>
          <w:szCs w:val="22"/>
          <w:lang w:val="en-US"/>
        </w:rPr>
        <w:t xml:space="preserve">applications. </w:t>
      </w:r>
      <w:r w:rsidR="00070990" w:rsidRPr="00E3179C">
        <w:rPr>
          <w:rFonts w:cs="Arial"/>
          <w:szCs w:val="22"/>
          <w:lang w:val="en-US"/>
        </w:rPr>
        <w:t xml:space="preserve">For </w:t>
      </w:r>
      <w:r w:rsidR="00654007" w:rsidRPr="00E3179C">
        <w:rPr>
          <w:rFonts w:cs="Arial"/>
          <w:szCs w:val="22"/>
          <w:lang w:val="en-US"/>
        </w:rPr>
        <w:t xml:space="preserve">more </w:t>
      </w:r>
      <w:r w:rsidR="00070990" w:rsidRPr="00E3179C">
        <w:rPr>
          <w:rFonts w:cs="Arial"/>
          <w:szCs w:val="22"/>
          <w:lang w:val="en-US"/>
        </w:rPr>
        <w:t>price sensitive</w:t>
      </w:r>
      <w:r w:rsidR="00217039" w:rsidRPr="00E3179C">
        <w:rPr>
          <w:rFonts w:cs="Arial"/>
          <w:szCs w:val="22"/>
          <w:lang w:val="en-US"/>
        </w:rPr>
        <w:t xml:space="preserve"> applications</w:t>
      </w:r>
      <w:r w:rsidR="00070990" w:rsidRPr="00E3179C">
        <w:rPr>
          <w:rFonts w:cs="Arial"/>
          <w:szCs w:val="22"/>
          <w:lang w:val="en-US"/>
        </w:rPr>
        <w:t>, congatec also offers a cost optimized Intel</w:t>
      </w:r>
      <w:r w:rsidR="00070990" w:rsidRPr="00E3179C">
        <w:rPr>
          <w:rFonts w:cs="Arial"/>
          <w:szCs w:val="22"/>
          <w:vertAlign w:val="superscript"/>
          <w:lang w:val="en-US"/>
        </w:rPr>
        <w:t>®</w:t>
      </w:r>
      <w:r w:rsidR="00070990" w:rsidRPr="00E3179C">
        <w:rPr>
          <w:rFonts w:cs="Arial"/>
          <w:szCs w:val="22"/>
          <w:lang w:val="en-US"/>
        </w:rPr>
        <w:t xml:space="preserve"> Celeron</w:t>
      </w:r>
      <w:r w:rsidR="00070990" w:rsidRPr="00E3179C">
        <w:rPr>
          <w:rFonts w:cs="Arial"/>
          <w:szCs w:val="22"/>
          <w:vertAlign w:val="superscript"/>
          <w:lang w:val="en-US"/>
        </w:rPr>
        <w:t>®</w:t>
      </w:r>
      <w:r w:rsidR="00070990" w:rsidRPr="00E3179C">
        <w:rPr>
          <w:rFonts w:cs="Arial"/>
          <w:szCs w:val="22"/>
          <w:lang w:val="en-US"/>
        </w:rPr>
        <w:t xml:space="preserve"> </w:t>
      </w:r>
      <w:r w:rsidR="00CB3C02">
        <w:rPr>
          <w:rFonts w:cs="Arial"/>
          <w:szCs w:val="22"/>
          <w:lang w:val="en-US"/>
        </w:rPr>
        <w:t xml:space="preserve">processor </w:t>
      </w:r>
      <w:r w:rsidR="00070990" w:rsidRPr="00E3179C">
        <w:rPr>
          <w:rFonts w:cs="Arial"/>
          <w:szCs w:val="22"/>
          <w:lang w:val="en-US"/>
        </w:rPr>
        <w:t>based variant</w:t>
      </w:r>
      <w:r w:rsidR="00070990" w:rsidRPr="00E3179C" w:rsidDel="00070990">
        <w:rPr>
          <w:rFonts w:cs="Arial"/>
          <w:szCs w:val="22"/>
          <w:lang w:val="en-US"/>
        </w:rPr>
        <w:t xml:space="preserve"> </w:t>
      </w:r>
      <w:r w:rsidR="00070990" w:rsidRPr="00E3179C">
        <w:rPr>
          <w:rFonts w:cs="Arial"/>
          <w:szCs w:val="22"/>
          <w:lang w:val="en-US"/>
        </w:rPr>
        <w:t xml:space="preserve">for the extended temperature range from 0°C to 60°C. </w:t>
      </w:r>
      <w:r w:rsidR="00C738B4" w:rsidRPr="00E3179C">
        <w:rPr>
          <w:rFonts w:cs="Arial"/>
          <w:szCs w:val="22"/>
          <w:lang w:val="en-US"/>
        </w:rPr>
        <w:t>Typical</w:t>
      </w:r>
      <w:r w:rsidR="00A9129A" w:rsidRPr="00E3179C">
        <w:rPr>
          <w:rFonts w:cs="Arial"/>
          <w:szCs w:val="22"/>
          <w:lang w:val="en-US"/>
        </w:rPr>
        <w:t xml:space="preserve"> customers </w:t>
      </w:r>
      <w:r w:rsidR="00070990" w:rsidRPr="00E3179C">
        <w:rPr>
          <w:rFonts w:cs="Arial"/>
          <w:szCs w:val="22"/>
          <w:lang w:val="en-US"/>
        </w:rPr>
        <w:t xml:space="preserve">for </w:t>
      </w:r>
      <w:r w:rsidR="00857DC3" w:rsidRPr="00E3179C">
        <w:rPr>
          <w:rFonts w:cs="Arial"/>
          <w:szCs w:val="22"/>
          <w:lang w:val="en-US"/>
        </w:rPr>
        <w:t>the new range of Computer</w:t>
      </w:r>
      <w:r w:rsidR="005D217B" w:rsidRPr="00E3179C">
        <w:rPr>
          <w:rFonts w:cs="Arial"/>
          <w:szCs w:val="22"/>
          <w:lang w:val="en-US"/>
        </w:rPr>
        <w:t xml:space="preserve">-on-Modules </w:t>
      </w:r>
      <w:r w:rsidR="00070990" w:rsidRPr="00E3179C">
        <w:rPr>
          <w:rFonts w:cs="Arial"/>
          <w:szCs w:val="22"/>
          <w:lang w:val="en-US"/>
        </w:rPr>
        <w:t xml:space="preserve">based on the Tiger Lake microarchitecture </w:t>
      </w:r>
      <w:r w:rsidR="00A9129A" w:rsidRPr="00E3179C">
        <w:rPr>
          <w:rFonts w:cs="Arial"/>
          <w:szCs w:val="22"/>
          <w:lang w:val="en-US"/>
        </w:rPr>
        <w:t>are OEMs of</w:t>
      </w:r>
      <w:r w:rsidR="00C738B4" w:rsidRPr="00E3179C">
        <w:rPr>
          <w:rFonts w:cs="Arial"/>
          <w:szCs w:val="22"/>
          <w:lang w:val="en-US"/>
        </w:rPr>
        <w:t xml:space="preserve"> </w:t>
      </w:r>
      <w:r w:rsidRPr="00E3179C">
        <w:rPr>
          <w:rFonts w:cs="Arial"/>
          <w:szCs w:val="22"/>
          <w:lang w:val="en-US"/>
        </w:rPr>
        <w:t>trains, commercial vehicles, construction machines, agricultur</w:t>
      </w:r>
      <w:r w:rsidR="00543901" w:rsidRPr="00E3179C">
        <w:rPr>
          <w:rFonts w:cs="Arial"/>
          <w:szCs w:val="22"/>
          <w:lang w:val="en-US"/>
        </w:rPr>
        <w:t>al</w:t>
      </w:r>
      <w:r w:rsidRPr="00E3179C">
        <w:rPr>
          <w:rFonts w:cs="Arial"/>
          <w:szCs w:val="22"/>
          <w:lang w:val="en-US"/>
        </w:rPr>
        <w:t xml:space="preserve"> </w:t>
      </w:r>
      <w:r w:rsidR="00543901" w:rsidRPr="00E3179C">
        <w:rPr>
          <w:rFonts w:cs="Arial"/>
          <w:szCs w:val="22"/>
          <w:lang w:val="en-US"/>
        </w:rPr>
        <w:t>vehicles</w:t>
      </w:r>
      <w:r w:rsidRPr="00E3179C">
        <w:rPr>
          <w:rFonts w:cs="Arial"/>
          <w:szCs w:val="22"/>
          <w:lang w:val="en-US"/>
        </w:rPr>
        <w:t xml:space="preserve">, </w:t>
      </w:r>
      <w:r w:rsidR="000C341D" w:rsidRPr="00E3179C">
        <w:rPr>
          <w:rFonts w:cs="Arial"/>
          <w:szCs w:val="22"/>
          <w:lang w:val="en-US"/>
        </w:rPr>
        <w:t>self-driving</w:t>
      </w:r>
      <w:r w:rsidR="00925008" w:rsidRPr="00E3179C">
        <w:rPr>
          <w:rFonts w:cs="Arial"/>
          <w:szCs w:val="22"/>
          <w:lang w:val="en-US"/>
        </w:rPr>
        <w:t xml:space="preserve"> </w:t>
      </w:r>
      <w:r w:rsidRPr="00E3179C">
        <w:rPr>
          <w:rFonts w:cs="Arial"/>
          <w:szCs w:val="22"/>
          <w:lang w:val="en-US"/>
        </w:rPr>
        <w:t xml:space="preserve">robots and many other </w:t>
      </w:r>
      <w:r w:rsidR="00010EA1" w:rsidRPr="00E3179C">
        <w:rPr>
          <w:rFonts w:cs="Arial"/>
          <w:szCs w:val="22"/>
          <w:lang w:val="en-US"/>
        </w:rPr>
        <w:t xml:space="preserve">mobile </w:t>
      </w:r>
      <w:r w:rsidRPr="00E3179C">
        <w:rPr>
          <w:rFonts w:cs="Arial"/>
          <w:szCs w:val="22"/>
          <w:lang w:val="en-US"/>
        </w:rPr>
        <w:t xml:space="preserve">applications in the most challenging outdoor and off-road environments. Shock and vibration resistant stationary </w:t>
      </w:r>
      <w:r w:rsidR="001B126C" w:rsidRPr="00E3179C">
        <w:rPr>
          <w:rFonts w:cs="Arial"/>
          <w:szCs w:val="22"/>
          <w:lang w:val="en-US"/>
        </w:rPr>
        <w:t xml:space="preserve">devices </w:t>
      </w:r>
      <w:r w:rsidR="00FA7191" w:rsidRPr="00E3179C">
        <w:rPr>
          <w:rFonts w:cs="Arial"/>
          <w:szCs w:val="22"/>
          <w:lang w:val="en-US"/>
        </w:rPr>
        <w:t xml:space="preserve">are </w:t>
      </w:r>
      <w:r w:rsidRPr="00E3179C">
        <w:rPr>
          <w:rFonts w:cs="Arial"/>
          <w:szCs w:val="22"/>
          <w:lang w:val="en-US"/>
        </w:rPr>
        <w:t>another important application area as digitization requires critical infrastructure protection (CIP) against earth</w:t>
      </w:r>
      <w:r w:rsidR="001B126C" w:rsidRPr="00E3179C">
        <w:rPr>
          <w:rFonts w:cs="Arial"/>
          <w:szCs w:val="22"/>
          <w:lang w:val="en-US"/>
        </w:rPr>
        <w:t xml:space="preserve">quakes </w:t>
      </w:r>
      <w:r w:rsidRPr="00E3179C">
        <w:rPr>
          <w:rFonts w:cs="Arial"/>
          <w:szCs w:val="22"/>
          <w:lang w:val="en-US"/>
        </w:rPr>
        <w:t>and other mission critical events.</w:t>
      </w:r>
      <w:r w:rsidR="000C46E5">
        <w:rPr>
          <w:rFonts w:cs="Arial"/>
          <w:szCs w:val="22"/>
          <w:lang w:val="en-US"/>
        </w:rPr>
        <w:t xml:space="preserve"> All </w:t>
      </w:r>
      <w:r w:rsidR="000C46E5">
        <w:rPr>
          <w:rFonts w:cs="Arial"/>
          <w:szCs w:val="22"/>
          <w:lang w:val="en-US"/>
        </w:rPr>
        <w:lastRenderedPageBreak/>
        <w:t xml:space="preserve">these applications </w:t>
      </w:r>
      <w:r w:rsidR="008F62AC">
        <w:rPr>
          <w:rFonts w:cs="Arial"/>
          <w:szCs w:val="22"/>
          <w:lang w:val="en-US"/>
        </w:rPr>
        <w:t>can</w:t>
      </w:r>
      <w:r w:rsidR="000C46E5">
        <w:rPr>
          <w:rFonts w:cs="Arial"/>
          <w:szCs w:val="22"/>
          <w:lang w:val="en-US"/>
        </w:rPr>
        <w:t xml:space="preserve"> now benefit</w:t>
      </w:r>
      <w:r w:rsidR="00D700C2">
        <w:rPr>
          <w:rFonts w:cs="Arial"/>
          <w:szCs w:val="22"/>
          <w:lang w:val="en-US"/>
        </w:rPr>
        <w:t xml:space="preserve"> from</w:t>
      </w:r>
      <w:r w:rsidR="000C46E5">
        <w:rPr>
          <w:rFonts w:cs="Arial"/>
          <w:szCs w:val="22"/>
          <w:lang w:val="en-US"/>
        </w:rPr>
        <w:t xml:space="preserve"> s</w:t>
      </w:r>
      <w:r w:rsidR="000C46E5" w:rsidRPr="00E3179C">
        <w:rPr>
          <w:rFonts w:cs="Arial"/>
          <w:szCs w:val="22"/>
          <w:lang w:val="en-US"/>
        </w:rPr>
        <w:t>uper-fast LPDDR4X RAM with up to 4266</w:t>
      </w:r>
      <w:r w:rsidR="0006518A">
        <w:rPr>
          <w:rFonts w:cs="Arial"/>
          <w:szCs w:val="22"/>
          <w:lang w:val="en-US"/>
        </w:rPr>
        <w:t> </w:t>
      </w:r>
      <w:r w:rsidR="000C46E5" w:rsidRPr="00E3179C">
        <w:rPr>
          <w:rFonts w:cs="Arial"/>
          <w:szCs w:val="22"/>
          <w:lang w:val="en-US"/>
        </w:rPr>
        <w:t xml:space="preserve">MT/s and in-band error-correcting code </w:t>
      </w:r>
      <w:r w:rsidR="000C46E5">
        <w:rPr>
          <w:rFonts w:cs="Arial"/>
          <w:szCs w:val="22"/>
          <w:lang w:val="en-US"/>
        </w:rPr>
        <w:t>(IBECC</w:t>
      </w:r>
      <w:r w:rsidR="008F62AC">
        <w:rPr>
          <w:rFonts w:cs="Arial"/>
          <w:szCs w:val="22"/>
          <w:lang w:val="en-US"/>
        </w:rPr>
        <w:t>) for</w:t>
      </w:r>
      <w:r w:rsidR="000C46E5" w:rsidRPr="000C46E5">
        <w:rPr>
          <w:rFonts w:cs="Arial"/>
          <w:szCs w:val="22"/>
          <w:lang w:val="en-US"/>
        </w:rPr>
        <w:t xml:space="preserve"> </w:t>
      </w:r>
      <w:r w:rsidR="008F62AC">
        <w:rPr>
          <w:rFonts w:cs="Arial"/>
          <w:szCs w:val="22"/>
          <w:lang w:val="en-US"/>
        </w:rPr>
        <w:t xml:space="preserve">single failure tolerance and </w:t>
      </w:r>
      <w:r w:rsidR="000C46E5" w:rsidRPr="000C46E5">
        <w:rPr>
          <w:rFonts w:cs="Arial"/>
          <w:szCs w:val="22"/>
          <w:lang w:val="en-US"/>
        </w:rPr>
        <w:t>high data transmission quality</w:t>
      </w:r>
      <w:r w:rsidR="008F62AC">
        <w:rPr>
          <w:rFonts w:cs="Arial"/>
          <w:szCs w:val="22"/>
          <w:lang w:val="en-US"/>
        </w:rPr>
        <w:t xml:space="preserve"> in EMI critical environments</w:t>
      </w:r>
      <w:r w:rsidR="000C46E5" w:rsidRPr="00E3179C">
        <w:rPr>
          <w:rFonts w:cs="Arial"/>
          <w:szCs w:val="22"/>
          <w:lang w:val="en-US"/>
        </w:rPr>
        <w:t>.</w:t>
      </w:r>
    </w:p>
    <w:p w:rsidR="008D6385" w:rsidRPr="004555C9" w:rsidRDefault="008D6385" w:rsidP="008D6385">
      <w:pPr>
        <w:rPr>
          <w:rFonts w:cs="Arial"/>
          <w:szCs w:val="22"/>
          <w:lang w:val="en-US"/>
        </w:rPr>
      </w:pPr>
    </w:p>
    <w:p w:rsidR="008D6385" w:rsidRPr="004555C9" w:rsidRDefault="008D6385" w:rsidP="008D6385">
      <w:pPr>
        <w:rPr>
          <w:rFonts w:cs="Arial"/>
          <w:szCs w:val="22"/>
          <w:lang w:val="en-US"/>
        </w:rPr>
      </w:pPr>
      <w:r w:rsidRPr="004555C9">
        <w:rPr>
          <w:rFonts w:cs="Arial"/>
          <w:szCs w:val="22"/>
          <w:lang w:val="en-US"/>
        </w:rPr>
        <w:t xml:space="preserve">The value package includes rugged mounting options for the COM </w:t>
      </w:r>
      <w:r w:rsidR="00184202" w:rsidRPr="004555C9">
        <w:rPr>
          <w:rFonts w:cs="Arial"/>
          <w:szCs w:val="22"/>
          <w:lang w:val="en-US"/>
        </w:rPr>
        <w:t xml:space="preserve">and </w:t>
      </w:r>
      <w:r w:rsidRPr="004555C9">
        <w:rPr>
          <w:rFonts w:cs="Arial"/>
          <w:szCs w:val="22"/>
          <w:lang w:val="en-US"/>
        </w:rPr>
        <w:t xml:space="preserve">carrier bundle, </w:t>
      </w:r>
      <w:r w:rsidR="006E28F0">
        <w:rPr>
          <w:rFonts w:cs="Arial"/>
          <w:szCs w:val="22"/>
          <w:lang w:val="en-US"/>
        </w:rPr>
        <w:t xml:space="preserve">active and </w:t>
      </w:r>
      <w:r w:rsidRPr="004555C9">
        <w:rPr>
          <w:rFonts w:cs="Arial"/>
          <w:szCs w:val="22"/>
          <w:lang w:val="en-US"/>
        </w:rPr>
        <w:t>passive cooling options, optional conformal coating for protection against corrosion due to moisture or condensation, a list of recommended carrier board schematics</w:t>
      </w:r>
      <w:r w:rsidR="00184202" w:rsidRPr="004555C9">
        <w:rPr>
          <w:rFonts w:cs="Arial"/>
          <w:szCs w:val="22"/>
          <w:lang w:val="en-US"/>
        </w:rPr>
        <w:t>,</w:t>
      </w:r>
      <w:r w:rsidRPr="004555C9">
        <w:rPr>
          <w:rFonts w:cs="Arial"/>
          <w:szCs w:val="22"/>
          <w:lang w:val="en-US"/>
        </w:rPr>
        <w:t xml:space="preserve"> and </w:t>
      </w:r>
      <w:r w:rsidR="00620932" w:rsidRPr="004555C9">
        <w:rPr>
          <w:rFonts w:cs="Arial"/>
          <w:szCs w:val="22"/>
          <w:lang w:val="en-US"/>
        </w:rPr>
        <w:t>for highest reliability</w:t>
      </w:r>
      <w:r w:rsidR="004A6BD9" w:rsidRPr="004555C9">
        <w:rPr>
          <w:rFonts w:cs="Arial"/>
          <w:szCs w:val="22"/>
          <w:lang w:val="en-US"/>
        </w:rPr>
        <w:t xml:space="preserve">, </w:t>
      </w:r>
      <w:r w:rsidRPr="004555C9">
        <w:rPr>
          <w:rFonts w:cs="Arial"/>
          <w:szCs w:val="22"/>
          <w:lang w:val="en-US"/>
        </w:rPr>
        <w:t xml:space="preserve">shock </w:t>
      </w:r>
      <w:r w:rsidR="00184202" w:rsidRPr="004555C9">
        <w:rPr>
          <w:rFonts w:cs="Arial"/>
          <w:szCs w:val="22"/>
          <w:lang w:val="en-US"/>
        </w:rPr>
        <w:t xml:space="preserve">and </w:t>
      </w:r>
      <w:r w:rsidRPr="004555C9">
        <w:rPr>
          <w:rFonts w:cs="Arial"/>
          <w:szCs w:val="22"/>
          <w:lang w:val="en-US"/>
        </w:rPr>
        <w:t xml:space="preserve">vibration resistant components for the extended temperature range. This impressive technical feature set is complemented by a comprehensive service offering that includes </w:t>
      </w:r>
      <w:r w:rsidR="008936A8" w:rsidRPr="004555C9">
        <w:rPr>
          <w:rFonts w:cs="Arial"/>
          <w:szCs w:val="22"/>
          <w:lang w:val="en-US"/>
        </w:rPr>
        <w:t>s</w:t>
      </w:r>
      <w:r w:rsidRPr="004555C9">
        <w:rPr>
          <w:rFonts w:cs="Arial"/>
          <w:szCs w:val="22"/>
          <w:lang w:val="en-US"/>
        </w:rPr>
        <w:t xml:space="preserve">hock </w:t>
      </w:r>
      <w:r w:rsidR="004A6BD9" w:rsidRPr="004555C9">
        <w:rPr>
          <w:rFonts w:cs="Arial"/>
          <w:szCs w:val="22"/>
          <w:lang w:val="en-US"/>
        </w:rPr>
        <w:t xml:space="preserve">and </w:t>
      </w:r>
      <w:r w:rsidRPr="004555C9">
        <w:rPr>
          <w:rFonts w:cs="Arial"/>
          <w:szCs w:val="22"/>
          <w:lang w:val="en-US"/>
        </w:rPr>
        <w:t xml:space="preserve">vibration tests for custom system designs, temperature screening, </w:t>
      </w:r>
      <w:r w:rsidR="007F0DE0" w:rsidRPr="004555C9">
        <w:rPr>
          <w:rFonts w:cs="Arial"/>
          <w:szCs w:val="22"/>
          <w:lang w:val="en-US"/>
        </w:rPr>
        <w:t xml:space="preserve">and </w:t>
      </w:r>
      <w:r w:rsidRPr="004555C9">
        <w:rPr>
          <w:rFonts w:cs="Arial"/>
          <w:szCs w:val="22"/>
          <w:lang w:val="en-US"/>
        </w:rPr>
        <w:t>high speed signal compliance testing</w:t>
      </w:r>
      <w:r w:rsidR="007F0DE0" w:rsidRPr="004555C9">
        <w:rPr>
          <w:rFonts w:cs="Arial"/>
          <w:szCs w:val="22"/>
          <w:lang w:val="en-US"/>
        </w:rPr>
        <w:t>,</w:t>
      </w:r>
      <w:r w:rsidRPr="004555C9">
        <w:rPr>
          <w:rFonts w:cs="Arial"/>
          <w:szCs w:val="22"/>
          <w:lang w:val="en-US"/>
        </w:rPr>
        <w:t xml:space="preserve"> along with design-in services</w:t>
      </w:r>
      <w:r w:rsidR="00FE46D8" w:rsidRPr="004555C9">
        <w:rPr>
          <w:rFonts w:cs="Arial"/>
          <w:szCs w:val="22"/>
          <w:lang w:val="en-US"/>
        </w:rPr>
        <w:t>,</w:t>
      </w:r>
      <w:r w:rsidRPr="004555C9">
        <w:rPr>
          <w:rFonts w:cs="Arial"/>
          <w:szCs w:val="22"/>
          <w:lang w:val="en-US"/>
        </w:rPr>
        <w:t xml:space="preserve"> and all </w:t>
      </w:r>
      <w:r w:rsidR="003F3A07" w:rsidRPr="004555C9">
        <w:rPr>
          <w:rFonts w:cs="Arial"/>
          <w:szCs w:val="22"/>
          <w:lang w:val="en-US"/>
        </w:rPr>
        <w:t xml:space="preserve">required </w:t>
      </w:r>
      <w:r w:rsidRPr="004555C9">
        <w:rPr>
          <w:rFonts w:cs="Arial"/>
          <w:szCs w:val="22"/>
          <w:lang w:val="en-US"/>
        </w:rPr>
        <w:t xml:space="preserve">training sessions </w:t>
      </w:r>
      <w:r w:rsidR="003F3A07">
        <w:rPr>
          <w:rFonts w:cs="Arial"/>
          <w:szCs w:val="22"/>
          <w:lang w:val="en-US"/>
        </w:rPr>
        <w:t>which</w:t>
      </w:r>
      <w:r w:rsidR="00614A14">
        <w:rPr>
          <w:rFonts w:cs="Arial"/>
          <w:szCs w:val="22"/>
          <w:lang w:val="en-US"/>
        </w:rPr>
        <w:t xml:space="preserve"> </w:t>
      </w:r>
      <w:r w:rsidRPr="004555C9">
        <w:rPr>
          <w:rFonts w:cs="Arial"/>
          <w:szCs w:val="22"/>
          <w:lang w:val="en-US"/>
        </w:rPr>
        <w:t>simplif</w:t>
      </w:r>
      <w:r w:rsidR="00061EA3">
        <w:rPr>
          <w:rFonts w:cs="Arial"/>
          <w:szCs w:val="22"/>
          <w:lang w:val="en-US"/>
        </w:rPr>
        <w:t>y</w:t>
      </w:r>
      <w:r w:rsidRPr="004555C9">
        <w:rPr>
          <w:rFonts w:cs="Arial"/>
          <w:szCs w:val="22"/>
          <w:lang w:val="en-US"/>
        </w:rPr>
        <w:t xml:space="preserve"> the use of congatec’s embedded computer technologies. </w:t>
      </w:r>
    </w:p>
    <w:p w:rsidR="008D6385" w:rsidRPr="004555C9" w:rsidRDefault="008D6385" w:rsidP="008D6385">
      <w:pPr>
        <w:rPr>
          <w:rFonts w:cs="Arial"/>
          <w:szCs w:val="22"/>
          <w:lang w:val="en-US"/>
        </w:rPr>
      </w:pPr>
    </w:p>
    <w:p w:rsidR="00AD7D94" w:rsidRPr="004555C9" w:rsidRDefault="009561C0" w:rsidP="008D6385">
      <w:pPr>
        <w:rPr>
          <w:rFonts w:cs="Arial"/>
          <w:b/>
          <w:szCs w:val="22"/>
          <w:lang w:val="en-US"/>
        </w:rPr>
      </w:pPr>
      <w:r w:rsidRPr="009561C0">
        <w:rPr>
          <w:rFonts w:cs="Arial"/>
          <w:b/>
          <w:szCs w:val="22"/>
          <w:lang w:val="en-US"/>
        </w:rPr>
        <w:t>The benefits in detail</w:t>
      </w:r>
    </w:p>
    <w:p w:rsidR="008D6385" w:rsidRPr="004555C9" w:rsidRDefault="008D6385" w:rsidP="008D6385">
      <w:pPr>
        <w:rPr>
          <w:rFonts w:cs="Arial"/>
          <w:szCs w:val="22"/>
          <w:lang w:val="en-US"/>
        </w:rPr>
      </w:pPr>
      <w:r w:rsidRPr="004555C9">
        <w:rPr>
          <w:rFonts w:cs="Arial"/>
          <w:szCs w:val="22"/>
          <w:lang w:val="en-US"/>
        </w:rPr>
        <w:t xml:space="preserve">Based on the new low-power high-density </w:t>
      </w:r>
      <w:r w:rsidR="00390458" w:rsidRPr="00E3179C">
        <w:rPr>
          <w:rFonts w:cs="Arial"/>
          <w:szCs w:val="22"/>
          <w:lang w:val="en-US"/>
        </w:rPr>
        <w:t>11</w:t>
      </w:r>
      <w:r w:rsidR="00390458" w:rsidRPr="00E3179C">
        <w:rPr>
          <w:rFonts w:cs="Arial"/>
          <w:kern w:val="22"/>
          <w:szCs w:val="22"/>
          <w:lang w:val="en-US"/>
        </w:rPr>
        <w:t>th</w:t>
      </w:r>
      <w:r w:rsidR="00390458" w:rsidRPr="00E3179C">
        <w:rPr>
          <w:rFonts w:cs="Arial"/>
          <w:szCs w:val="22"/>
          <w:lang w:val="en-US"/>
        </w:rPr>
        <w:t xml:space="preserve"> Gen Intel</w:t>
      </w:r>
      <w:r w:rsidR="00390458" w:rsidRPr="00E3179C">
        <w:rPr>
          <w:rFonts w:cs="Arial"/>
          <w:szCs w:val="22"/>
          <w:vertAlign w:val="superscript"/>
          <w:lang w:val="en-US"/>
        </w:rPr>
        <w:t>®</w:t>
      </w:r>
      <w:r w:rsidR="00390458" w:rsidRPr="00E3179C">
        <w:rPr>
          <w:rFonts w:cs="Arial"/>
          <w:szCs w:val="22"/>
          <w:lang w:val="en-US"/>
        </w:rPr>
        <w:t xml:space="preserve"> Core</w:t>
      </w:r>
      <w:r w:rsidR="00390458" w:rsidRPr="00E3179C">
        <w:rPr>
          <w:rFonts w:cs="Arial"/>
          <w:szCs w:val="22"/>
          <w:vertAlign w:val="superscript"/>
          <w:lang w:val="en-US"/>
        </w:rPr>
        <w:t>®</w:t>
      </w:r>
      <w:r w:rsidR="00390458" w:rsidRPr="00E3179C">
        <w:rPr>
          <w:rFonts w:cs="Arial"/>
          <w:szCs w:val="22"/>
          <w:lang w:val="en-US"/>
        </w:rPr>
        <w:t xml:space="preserve"> </w:t>
      </w:r>
      <w:proofErr w:type="spellStart"/>
      <w:r w:rsidRPr="004555C9">
        <w:rPr>
          <w:rFonts w:cs="Arial"/>
          <w:szCs w:val="22"/>
          <w:lang w:val="en-US"/>
        </w:rPr>
        <w:t>SoCs</w:t>
      </w:r>
      <w:proofErr w:type="spellEnd"/>
      <w:r w:rsidRPr="004555C9">
        <w:rPr>
          <w:rFonts w:cs="Arial"/>
          <w:szCs w:val="22"/>
          <w:lang w:val="en-US"/>
        </w:rPr>
        <w:t xml:space="preserve">, the new modules offer significantly greater CPU performance and nearly 3x higher GPU performance compared to </w:t>
      </w:r>
      <w:r w:rsidR="008502E7" w:rsidRPr="004555C9">
        <w:rPr>
          <w:rFonts w:cs="Arial"/>
          <w:szCs w:val="22"/>
          <w:lang w:val="en-US"/>
        </w:rPr>
        <w:t xml:space="preserve">their </w:t>
      </w:r>
      <w:r w:rsidRPr="004555C9">
        <w:rPr>
          <w:rFonts w:cs="Arial"/>
          <w:szCs w:val="22"/>
          <w:lang w:val="en-US"/>
        </w:rPr>
        <w:t>predecessors, along with state-of-the-art PCIe Gen4 support. The most demanding graphics and compute workloads benefit from up to 4 cores, 8 threads</w:t>
      </w:r>
      <w:r w:rsidR="00586E57" w:rsidRPr="004555C9">
        <w:rPr>
          <w:rFonts w:cs="Arial"/>
          <w:szCs w:val="22"/>
          <w:lang w:val="en-US"/>
        </w:rPr>
        <w:t>,</w:t>
      </w:r>
      <w:r w:rsidRPr="004555C9">
        <w:rPr>
          <w:rFonts w:cs="Arial"/>
          <w:szCs w:val="22"/>
          <w:lang w:val="en-US"/>
        </w:rPr>
        <w:t xml:space="preserve"> and up to 96 graphics execution units for massive parallel processing throughput in an ultra-rugged shape. The integrated graphics </w:t>
      </w:r>
      <w:r w:rsidR="00DC5D6D" w:rsidRPr="004555C9">
        <w:rPr>
          <w:rFonts w:cs="Arial"/>
          <w:szCs w:val="22"/>
          <w:lang w:val="en-US"/>
        </w:rPr>
        <w:t>not only supports 8k displays or 4x 4k</w:t>
      </w:r>
      <w:r w:rsidR="002D095F" w:rsidRPr="004555C9">
        <w:rPr>
          <w:rFonts w:cs="Arial"/>
          <w:szCs w:val="22"/>
          <w:lang w:val="en-US"/>
        </w:rPr>
        <w:t>;</w:t>
      </w:r>
      <w:r w:rsidR="00DC5D6D" w:rsidRPr="004555C9">
        <w:rPr>
          <w:rFonts w:cs="Arial"/>
          <w:szCs w:val="22"/>
          <w:lang w:val="en-US"/>
        </w:rPr>
        <w:t xml:space="preserve"> </w:t>
      </w:r>
      <w:r w:rsidR="002D095F" w:rsidRPr="004555C9">
        <w:rPr>
          <w:rFonts w:cs="Arial"/>
          <w:szCs w:val="22"/>
          <w:lang w:val="en-US"/>
        </w:rPr>
        <w:t xml:space="preserve">it </w:t>
      </w:r>
      <w:r w:rsidRPr="004555C9">
        <w:rPr>
          <w:rFonts w:cs="Arial"/>
          <w:szCs w:val="22"/>
          <w:lang w:val="en-US"/>
        </w:rPr>
        <w:t xml:space="preserve">can </w:t>
      </w:r>
      <w:r w:rsidR="00DC5D6D" w:rsidRPr="004555C9">
        <w:rPr>
          <w:rFonts w:cs="Arial"/>
          <w:szCs w:val="22"/>
          <w:lang w:val="en-US"/>
        </w:rPr>
        <w:t xml:space="preserve">also </w:t>
      </w:r>
      <w:r w:rsidRPr="004555C9">
        <w:rPr>
          <w:rFonts w:cs="Arial"/>
          <w:szCs w:val="22"/>
          <w:lang w:val="en-US"/>
        </w:rPr>
        <w:t xml:space="preserve">be used as parallel processing unit for </w:t>
      </w:r>
      <w:r w:rsidR="004A2CD5" w:rsidRPr="004555C9">
        <w:rPr>
          <w:rFonts w:cs="Arial"/>
          <w:szCs w:val="22"/>
          <w:lang w:val="en-US"/>
        </w:rPr>
        <w:t xml:space="preserve">convolutional </w:t>
      </w:r>
      <w:r w:rsidR="00FB6992" w:rsidRPr="004555C9">
        <w:rPr>
          <w:rFonts w:cs="Arial"/>
          <w:szCs w:val="22"/>
          <w:lang w:val="en-US"/>
        </w:rPr>
        <w:t xml:space="preserve">neural networks </w:t>
      </w:r>
      <w:r w:rsidRPr="004555C9">
        <w:rPr>
          <w:rFonts w:cs="Arial"/>
          <w:szCs w:val="22"/>
          <w:lang w:val="en-US"/>
        </w:rPr>
        <w:t xml:space="preserve">(CNN) or as an AI and deep learning accelerator. </w:t>
      </w:r>
      <w:r w:rsidR="0071564F" w:rsidRPr="0071564F">
        <w:rPr>
          <w:rFonts w:cs="Arial"/>
          <w:szCs w:val="22"/>
          <w:lang w:val="en-US"/>
        </w:rPr>
        <w:t xml:space="preserve">The </w:t>
      </w:r>
      <w:r w:rsidR="001848D0">
        <w:rPr>
          <w:rFonts w:cs="Arial"/>
          <w:szCs w:val="22"/>
          <w:lang w:val="en-US"/>
        </w:rPr>
        <w:t xml:space="preserve">CPU </w:t>
      </w:r>
      <w:r w:rsidR="0071564F" w:rsidRPr="0071564F">
        <w:rPr>
          <w:rFonts w:cs="Arial"/>
          <w:szCs w:val="22"/>
          <w:lang w:val="en-US"/>
        </w:rPr>
        <w:t xml:space="preserve">integrated Intel AVX-512 instruction unit with support </w:t>
      </w:r>
      <w:r w:rsidR="001848D0">
        <w:rPr>
          <w:rFonts w:cs="Arial"/>
          <w:szCs w:val="22"/>
          <w:lang w:val="en-US"/>
        </w:rPr>
        <w:t>for</w:t>
      </w:r>
      <w:r w:rsidR="0071564F" w:rsidRPr="0071564F">
        <w:rPr>
          <w:rFonts w:cs="Arial"/>
          <w:szCs w:val="22"/>
          <w:lang w:val="en-US"/>
        </w:rPr>
        <w:t xml:space="preserve"> </w:t>
      </w:r>
      <w:r w:rsidR="0085777E">
        <w:rPr>
          <w:rFonts w:cs="Arial"/>
          <w:szCs w:val="22"/>
          <w:lang w:val="en-US"/>
        </w:rPr>
        <w:t xml:space="preserve">Vector Neural Network Instructions </w:t>
      </w:r>
      <w:r w:rsidR="001848D0">
        <w:rPr>
          <w:rFonts w:cs="Arial"/>
          <w:szCs w:val="22"/>
          <w:lang w:val="en-US"/>
        </w:rPr>
        <w:t>(</w:t>
      </w:r>
      <w:r w:rsidR="0071564F" w:rsidRPr="0071564F">
        <w:rPr>
          <w:rFonts w:cs="Arial"/>
          <w:szCs w:val="22"/>
          <w:lang w:val="en-US"/>
        </w:rPr>
        <w:t>VNNI</w:t>
      </w:r>
      <w:r w:rsidR="001848D0">
        <w:rPr>
          <w:rFonts w:cs="Arial"/>
          <w:szCs w:val="22"/>
          <w:lang w:val="en-US"/>
        </w:rPr>
        <w:t>)</w:t>
      </w:r>
      <w:r w:rsidR="0071564F" w:rsidRPr="0071564F">
        <w:rPr>
          <w:rFonts w:cs="Arial"/>
          <w:szCs w:val="22"/>
          <w:lang w:val="en-US"/>
        </w:rPr>
        <w:t xml:space="preserve"> is </w:t>
      </w:r>
      <w:r w:rsidR="009C26F0">
        <w:rPr>
          <w:rFonts w:cs="Arial"/>
          <w:szCs w:val="22"/>
          <w:lang w:val="en-US"/>
        </w:rPr>
        <w:t>another</w:t>
      </w:r>
      <w:r w:rsidR="009C26F0" w:rsidRPr="0071564F">
        <w:rPr>
          <w:rFonts w:cs="Arial"/>
          <w:szCs w:val="22"/>
          <w:lang w:val="en-US"/>
        </w:rPr>
        <w:t xml:space="preserve"> </w:t>
      </w:r>
      <w:r w:rsidR="00AB3ABB">
        <w:rPr>
          <w:rFonts w:cs="Arial"/>
          <w:szCs w:val="22"/>
          <w:lang w:val="en-US"/>
        </w:rPr>
        <w:t>feature</w:t>
      </w:r>
      <w:r w:rsidR="0071564F" w:rsidRPr="0071564F">
        <w:rPr>
          <w:rFonts w:cs="Arial"/>
          <w:szCs w:val="22"/>
          <w:lang w:val="en-US"/>
        </w:rPr>
        <w:t xml:space="preserve"> accelerat</w:t>
      </w:r>
      <w:r w:rsidR="00703782">
        <w:rPr>
          <w:rFonts w:cs="Arial"/>
          <w:szCs w:val="22"/>
          <w:lang w:val="en-US"/>
        </w:rPr>
        <w:t>ing</w:t>
      </w:r>
      <w:r w:rsidR="0071564F" w:rsidRPr="0071564F">
        <w:rPr>
          <w:rFonts w:cs="Arial"/>
          <w:szCs w:val="22"/>
          <w:lang w:val="en-US"/>
        </w:rPr>
        <w:t xml:space="preserve"> AI applications. </w:t>
      </w:r>
      <w:r w:rsidRPr="004555C9">
        <w:rPr>
          <w:rFonts w:cs="Arial"/>
          <w:szCs w:val="22"/>
          <w:lang w:val="en-US"/>
        </w:rPr>
        <w:t xml:space="preserve">Using the Intel </w:t>
      </w:r>
      <w:proofErr w:type="spellStart"/>
      <w:r w:rsidRPr="004555C9">
        <w:rPr>
          <w:rFonts w:cs="Arial"/>
          <w:szCs w:val="22"/>
          <w:lang w:val="en-US"/>
        </w:rPr>
        <w:t>OpenVINO</w:t>
      </w:r>
      <w:proofErr w:type="spellEnd"/>
      <w:r w:rsidR="00646D08" w:rsidRPr="004555C9">
        <w:rPr>
          <w:rFonts w:cs="Arial"/>
          <w:szCs w:val="22"/>
          <w:lang w:val="en-US"/>
        </w:rPr>
        <w:t>™</w:t>
      </w:r>
      <w:r w:rsidRPr="004555C9">
        <w:rPr>
          <w:rFonts w:cs="Arial"/>
          <w:szCs w:val="22"/>
          <w:lang w:val="en-US"/>
        </w:rPr>
        <w:t xml:space="preserve"> software toolkit</w:t>
      </w:r>
      <w:r w:rsidR="005C06D0" w:rsidRPr="004555C9">
        <w:rPr>
          <w:rFonts w:cs="Arial"/>
          <w:szCs w:val="22"/>
          <w:lang w:val="en-US"/>
        </w:rPr>
        <w:t>, which</w:t>
      </w:r>
      <w:r w:rsidRPr="004555C9">
        <w:rPr>
          <w:rFonts w:cs="Arial"/>
          <w:szCs w:val="22"/>
          <w:lang w:val="en-US"/>
        </w:rPr>
        <w:t xml:space="preserve"> includes optimized calls for OpenCV, OpenCL™ kernels, and other industry tools and libraries, workloads can be extended across CPU, GPU and FPGA compute units to accelerate AI workloads, including computer vision, audio, speech, </w:t>
      </w:r>
      <w:r w:rsidR="00E61695" w:rsidRPr="004555C9">
        <w:rPr>
          <w:rFonts w:cs="Arial"/>
          <w:szCs w:val="22"/>
          <w:lang w:val="en-US"/>
        </w:rPr>
        <w:t xml:space="preserve">and </w:t>
      </w:r>
      <w:r w:rsidRPr="004555C9">
        <w:rPr>
          <w:rFonts w:cs="Arial"/>
          <w:szCs w:val="22"/>
          <w:lang w:val="en-US"/>
        </w:rPr>
        <w:t xml:space="preserve">language </w:t>
      </w:r>
      <w:r w:rsidR="00E61695" w:rsidRPr="004555C9">
        <w:rPr>
          <w:rFonts w:cs="Arial"/>
          <w:szCs w:val="22"/>
          <w:lang w:val="en-US"/>
        </w:rPr>
        <w:t xml:space="preserve">recognition </w:t>
      </w:r>
      <w:r w:rsidRPr="004555C9">
        <w:rPr>
          <w:rFonts w:cs="Arial"/>
          <w:szCs w:val="22"/>
          <w:lang w:val="en-US"/>
        </w:rPr>
        <w:t>systems.</w:t>
      </w:r>
    </w:p>
    <w:p w:rsidR="008D6385" w:rsidRPr="004555C9" w:rsidRDefault="008D6385" w:rsidP="008D6385">
      <w:pPr>
        <w:rPr>
          <w:rFonts w:cs="Arial"/>
          <w:szCs w:val="22"/>
          <w:lang w:val="en-US"/>
        </w:rPr>
      </w:pPr>
    </w:p>
    <w:p w:rsidR="00070990" w:rsidRPr="004555C9" w:rsidRDefault="008D6385" w:rsidP="008D6385">
      <w:pPr>
        <w:rPr>
          <w:rFonts w:cs="Arial"/>
          <w:szCs w:val="22"/>
          <w:lang w:val="en-US"/>
        </w:rPr>
      </w:pPr>
      <w:r w:rsidRPr="004555C9">
        <w:rPr>
          <w:rFonts w:cs="Arial"/>
          <w:szCs w:val="22"/>
          <w:lang w:val="en-US"/>
        </w:rPr>
        <w:t>The TDP is scalable from 12</w:t>
      </w:r>
      <w:r w:rsidR="00D23515" w:rsidRPr="004555C9">
        <w:rPr>
          <w:rFonts w:cs="Arial"/>
          <w:szCs w:val="22"/>
          <w:lang w:val="en-US"/>
        </w:rPr>
        <w:t xml:space="preserve"> </w:t>
      </w:r>
      <w:r w:rsidRPr="004555C9">
        <w:rPr>
          <w:rFonts w:cs="Arial"/>
          <w:szCs w:val="22"/>
          <w:lang w:val="en-US"/>
        </w:rPr>
        <w:t>W to 28</w:t>
      </w:r>
      <w:r w:rsidR="00D23515" w:rsidRPr="004555C9">
        <w:rPr>
          <w:rFonts w:cs="Arial"/>
          <w:szCs w:val="22"/>
          <w:lang w:val="en-US"/>
        </w:rPr>
        <w:t xml:space="preserve"> </w:t>
      </w:r>
      <w:r w:rsidRPr="004555C9">
        <w:rPr>
          <w:rFonts w:cs="Arial"/>
          <w:szCs w:val="22"/>
          <w:lang w:val="en-US"/>
        </w:rPr>
        <w:t xml:space="preserve">W, enabling </w:t>
      </w:r>
      <w:r w:rsidR="00DC5D6D" w:rsidRPr="004555C9">
        <w:rPr>
          <w:rFonts w:cs="Arial"/>
          <w:szCs w:val="22"/>
          <w:lang w:val="en-US"/>
        </w:rPr>
        <w:t xml:space="preserve">fully sealed </w:t>
      </w:r>
      <w:r w:rsidRPr="004555C9">
        <w:rPr>
          <w:rFonts w:cs="Arial"/>
          <w:szCs w:val="22"/>
          <w:lang w:val="en-US"/>
        </w:rPr>
        <w:t xml:space="preserve">system designs with passive cooling only. The impressive performance of the ultra-rugged </w:t>
      </w:r>
      <w:r w:rsidR="002C7535">
        <w:rPr>
          <w:rFonts w:cs="Arial"/>
          <w:szCs w:val="22"/>
          <w:lang w:val="en-US"/>
        </w:rPr>
        <w:t xml:space="preserve">conga-TC570r </w:t>
      </w:r>
      <w:r w:rsidRPr="004555C9">
        <w:rPr>
          <w:rFonts w:cs="Arial"/>
          <w:szCs w:val="22"/>
          <w:lang w:val="en-US"/>
        </w:rPr>
        <w:t>COM Express Type 6 module has been made available in a real-time capable design including support for Time Sensitive Networking (TSN), Time Coordinated Computing (TCC) and RTS Realtime Systems</w:t>
      </w:r>
      <w:r w:rsidR="00ED737D" w:rsidRPr="004555C9">
        <w:rPr>
          <w:rFonts w:cs="Arial"/>
          <w:szCs w:val="22"/>
          <w:lang w:val="en-US"/>
        </w:rPr>
        <w:t>’</w:t>
      </w:r>
      <w:r w:rsidRPr="004555C9">
        <w:rPr>
          <w:rFonts w:cs="Arial"/>
          <w:szCs w:val="22"/>
          <w:lang w:val="en-US"/>
        </w:rPr>
        <w:t xml:space="preserve"> </w:t>
      </w:r>
      <w:r w:rsidR="00ED737D" w:rsidRPr="004555C9">
        <w:rPr>
          <w:rFonts w:cs="Arial"/>
          <w:szCs w:val="22"/>
          <w:lang w:val="en-US"/>
        </w:rPr>
        <w:t xml:space="preserve">hypervisor </w:t>
      </w:r>
      <w:r w:rsidRPr="004555C9">
        <w:rPr>
          <w:rFonts w:cs="Arial"/>
          <w:szCs w:val="22"/>
          <w:lang w:val="en-US"/>
        </w:rPr>
        <w:t>for virtual machine deployments and workload consolidation in edge computing scenarios.</w:t>
      </w:r>
      <w:r w:rsidR="00AD7D94" w:rsidRPr="004555C9">
        <w:rPr>
          <w:rFonts w:cs="Arial"/>
          <w:szCs w:val="22"/>
          <w:lang w:val="en-US"/>
        </w:rPr>
        <w:t xml:space="preserve"> </w:t>
      </w:r>
    </w:p>
    <w:p w:rsidR="008D6385" w:rsidRPr="004555C9" w:rsidRDefault="008D6385" w:rsidP="008D6385">
      <w:pPr>
        <w:rPr>
          <w:rFonts w:cs="Arial"/>
          <w:szCs w:val="22"/>
          <w:lang w:val="en-US"/>
        </w:rPr>
      </w:pPr>
    </w:p>
    <w:p w:rsidR="008D6385" w:rsidRPr="0071564F" w:rsidRDefault="008D6385" w:rsidP="00B226F8">
      <w:pPr>
        <w:rPr>
          <w:rFonts w:cs="Arial"/>
          <w:szCs w:val="22"/>
          <w:lang w:val="en-US"/>
        </w:rPr>
      </w:pPr>
      <w:r w:rsidRPr="004555C9">
        <w:rPr>
          <w:rFonts w:cs="Arial"/>
          <w:szCs w:val="22"/>
          <w:lang w:val="en-US"/>
        </w:rPr>
        <w:lastRenderedPageBreak/>
        <w:t xml:space="preserve">The </w:t>
      </w:r>
      <w:r w:rsidR="004E0A27" w:rsidRPr="004555C9">
        <w:rPr>
          <w:rFonts w:cs="Arial"/>
          <w:szCs w:val="22"/>
          <w:lang w:val="en-US"/>
        </w:rPr>
        <w:t>ultra-</w:t>
      </w:r>
      <w:r w:rsidR="008C6E1C" w:rsidRPr="004555C9">
        <w:rPr>
          <w:rFonts w:cs="Arial"/>
          <w:szCs w:val="22"/>
          <w:lang w:val="en-US"/>
        </w:rPr>
        <w:t xml:space="preserve">rugged </w:t>
      </w:r>
      <w:r w:rsidRPr="004555C9">
        <w:rPr>
          <w:rFonts w:cs="Arial"/>
          <w:szCs w:val="22"/>
          <w:lang w:val="en-US"/>
        </w:rPr>
        <w:t xml:space="preserve">COM Express Compact Type 6 </w:t>
      </w:r>
      <w:r w:rsidR="00390458" w:rsidRPr="00E3179C">
        <w:rPr>
          <w:rFonts w:cs="Arial"/>
          <w:szCs w:val="22"/>
          <w:lang w:val="en-US"/>
        </w:rPr>
        <w:t>11</w:t>
      </w:r>
      <w:r w:rsidR="00390458" w:rsidRPr="00E3179C">
        <w:rPr>
          <w:rFonts w:cs="Arial"/>
          <w:kern w:val="22"/>
          <w:szCs w:val="22"/>
          <w:lang w:val="en-US"/>
        </w:rPr>
        <w:t>th</w:t>
      </w:r>
      <w:r w:rsidR="00390458" w:rsidRPr="00E3179C">
        <w:rPr>
          <w:rFonts w:cs="Arial"/>
          <w:szCs w:val="22"/>
          <w:lang w:val="en-US"/>
        </w:rPr>
        <w:t xml:space="preserve"> Gen Intel</w:t>
      </w:r>
      <w:r w:rsidR="00390458" w:rsidRPr="00E3179C">
        <w:rPr>
          <w:rFonts w:cs="Arial"/>
          <w:szCs w:val="22"/>
          <w:vertAlign w:val="superscript"/>
          <w:lang w:val="en-US"/>
        </w:rPr>
        <w:t>®</w:t>
      </w:r>
      <w:r w:rsidR="00390458" w:rsidRPr="00E3179C">
        <w:rPr>
          <w:rFonts w:cs="Arial"/>
          <w:szCs w:val="22"/>
          <w:lang w:val="en-US"/>
        </w:rPr>
        <w:t xml:space="preserve"> Core</w:t>
      </w:r>
      <w:r w:rsidR="00390458" w:rsidRPr="00E3179C">
        <w:rPr>
          <w:rFonts w:cs="Arial"/>
          <w:szCs w:val="22"/>
          <w:vertAlign w:val="superscript"/>
          <w:lang w:val="en-US"/>
        </w:rPr>
        <w:t>®</w:t>
      </w:r>
      <w:r w:rsidR="00390458" w:rsidRPr="00E3179C">
        <w:rPr>
          <w:rFonts w:cs="Arial"/>
          <w:szCs w:val="22"/>
          <w:lang w:val="en-US"/>
        </w:rPr>
        <w:t xml:space="preserve"> </w:t>
      </w:r>
      <w:r w:rsidR="007501EA">
        <w:rPr>
          <w:rFonts w:cs="Arial"/>
          <w:szCs w:val="22"/>
          <w:lang w:val="en-US"/>
        </w:rPr>
        <w:t xml:space="preserve">(code name </w:t>
      </w:r>
      <w:r w:rsidR="00B226F8" w:rsidRPr="004555C9">
        <w:rPr>
          <w:rFonts w:cs="Arial"/>
          <w:szCs w:val="22"/>
          <w:lang w:val="en-US"/>
        </w:rPr>
        <w:t>Tiger Lake</w:t>
      </w:r>
      <w:r w:rsidR="007501EA">
        <w:rPr>
          <w:rFonts w:cs="Arial"/>
          <w:szCs w:val="22"/>
          <w:lang w:val="en-US"/>
        </w:rPr>
        <w:t xml:space="preserve">) </w:t>
      </w:r>
      <w:r w:rsidRPr="004555C9">
        <w:rPr>
          <w:rFonts w:cs="Arial"/>
          <w:szCs w:val="22"/>
          <w:lang w:val="en-US"/>
        </w:rPr>
        <w:t xml:space="preserve">modules are available in the following </w:t>
      </w:r>
      <w:r w:rsidR="0071564F">
        <w:rPr>
          <w:rFonts w:cs="Arial"/>
          <w:szCs w:val="22"/>
          <w:lang w:val="en-US"/>
        </w:rPr>
        <w:t>s</w:t>
      </w:r>
      <w:r w:rsidR="0071564F" w:rsidRPr="0071564F">
        <w:rPr>
          <w:rFonts w:cs="Arial"/>
          <w:szCs w:val="22"/>
          <w:lang w:val="en-US"/>
        </w:rPr>
        <w:t xml:space="preserve">tandard configurations with customization options upon </w:t>
      </w:r>
      <w:r w:rsidR="008F62AC" w:rsidRPr="0071564F">
        <w:rPr>
          <w:rFonts w:cs="Arial"/>
          <w:szCs w:val="22"/>
          <w:lang w:val="en-US"/>
        </w:rPr>
        <w:t>request</w:t>
      </w:r>
      <w:r w:rsidRPr="004555C9">
        <w:rPr>
          <w:rFonts w:cs="Arial"/>
          <w:szCs w:val="22"/>
          <w:lang w:val="en-US"/>
        </w:rPr>
        <w:t>:</w:t>
      </w:r>
    </w:p>
    <w:p w:rsidR="008D6385" w:rsidRPr="004555C9" w:rsidRDefault="008D6385" w:rsidP="008D6385">
      <w:pPr>
        <w:rPr>
          <w:rStyle w:val="Kommentarzeichen1"/>
          <w:rFonts w:cs="Arial"/>
          <w:sz w:val="22"/>
          <w:szCs w:val="22"/>
          <w:lang w:val="en-US"/>
        </w:rPr>
      </w:pPr>
    </w:p>
    <w:tbl>
      <w:tblPr>
        <w:tblW w:w="8708" w:type="dxa"/>
        <w:tblLayout w:type="fixed"/>
        <w:tblLook w:val="04A0"/>
      </w:tblPr>
      <w:tblGrid>
        <w:gridCol w:w="250"/>
        <w:gridCol w:w="2324"/>
        <w:gridCol w:w="283"/>
        <w:gridCol w:w="964"/>
        <w:gridCol w:w="236"/>
        <w:gridCol w:w="2005"/>
        <w:gridCol w:w="236"/>
        <w:gridCol w:w="794"/>
        <w:gridCol w:w="1380"/>
        <w:gridCol w:w="236"/>
      </w:tblGrid>
      <w:tr w:rsidR="008D6385" w:rsidRPr="004555C9" w:rsidTr="00134196">
        <w:trPr>
          <w:trHeight w:val="680"/>
        </w:trPr>
        <w:tc>
          <w:tcPr>
            <w:tcW w:w="250" w:type="dxa"/>
            <w:vAlign w:val="center"/>
          </w:tcPr>
          <w:p w:rsidR="008D6385" w:rsidRPr="004555C9" w:rsidRDefault="008D6385" w:rsidP="002E786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D6385" w:rsidRPr="004555C9" w:rsidRDefault="008D6385" w:rsidP="002E786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</w:tcPr>
          <w:p w:rsidR="008D6385" w:rsidRPr="004555C9" w:rsidRDefault="008D6385" w:rsidP="002E786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D6385" w:rsidRPr="004555C9" w:rsidRDefault="008D6385" w:rsidP="002E786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4555C9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</w:tcPr>
          <w:p w:rsidR="008D6385" w:rsidRPr="004555C9" w:rsidRDefault="008D6385" w:rsidP="002E786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8D6385" w:rsidRPr="004555C9" w:rsidRDefault="008D6385" w:rsidP="002E786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Frequency at 28/15/12W TDP, </w:t>
            </w:r>
            <w:r w:rsidR="002E7863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</w:r>
            <w:r w:rsidRPr="004555C9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>(Max Turbo) [GHz]</w:t>
            </w:r>
          </w:p>
        </w:tc>
        <w:tc>
          <w:tcPr>
            <w:tcW w:w="236" w:type="dxa"/>
          </w:tcPr>
          <w:p w:rsidR="008D6385" w:rsidRPr="004555C9" w:rsidRDefault="008D6385" w:rsidP="002E786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D6385" w:rsidRPr="004555C9" w:rsidRDefault="008D6385" w:rsidP="002E786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Cache [MB]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8D6385" w:rsidRPr="004555C9" w:rsidRDefault="008D6385" w:rsidP="002E786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Graphics </w:t>
            </w:r>
            <w:r w:rsidR="0071564F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>[</w:t>
            </w:r>
            <w:r w:rsidRPr="004555C9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>Execution Units</w:t>
            </w:r>
            <w:r w:rsidR="0071564F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>]</w:t>
            </w:r>
          </w:p>
        </w:tc>
        <w:tc>
          <w:tcPr>
            <w:tcW w:w="236" w:type="dxa"/>
          </w:tcPr>
          <w:p w:rsidR="008D6385" w:rsidRPr="004555C9" w:rsidRDefault="008D6385" w:rsidP="002E786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</w:tr>
      <w:tr w:rsidR="008D6385" w:rsidRPr="004555C9" w:rsidTr="00134196">
        <w:trPr>
          <w:trHeight w:val="340"/>
        </w:trPr>
        <w:tc>
          <w:tcPr>
            <w:tcW w:w="250" w:type="dxa"/>
            <w:vAlign w:val="center"/>
          </w:tcPr>
          <w:p w:rsidR="008D6385" w:rsidRPr="004555C9" w:rsidRDefault="008D6385" w:rsidP="0068058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</w:t>
            </w:r>
            <w:r w:rsidRPr="004555C9">
              <w:rPr>
                <w:rFonts w:cs="Arial"/>
                <w:sz w:val="18"/>
                <w:szCs w:val="18"/>
                <w:lang w:val="en-US"/>
              </w:rPr>
              <w:t>i7-1185GRE</w:t>
            </w:r>
          </w:p>
        </w:tc>
        <w:tc>
          <w:tcPr>
            <w:tcW w:w="283" w:type="dxa"/>
            <w:vAlign w:val="center"/>
          </w:tcPr>
          <w:p w:rsidR="008D6385" w:rsidRPr="004555C9" w:rsidRDefault="008D6385" w:rsidP="0068058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555C9">
              <w:rPr>
                <w:rFonts w:cs="Arial"/>
                <w:sz w:val="18"/>
                <w:szCs w:val="18"/>
                <w:lang w:val="en-US"/>
              </w:rPr>
              <w:t>4/8</w:t>
            </w:r>
          </w:p>
        </w:tc>
        <w:tc>
          <w:tcPr>
            <w:tcW w:w="236" w:type="dxa"/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555C9">
              <w:rPr>
                <w:rFonts w:cs="Arial"/>
                <w:sz w:val="18"/>
                <w:szCs w:val="18"/>
                <w:lang w:val="en-US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555C9"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555C9">
              <w:rPr>
                <w:rFonts w:cs="Arial"/>
                <w:sz w:val="18"/>
                <w:szCs w:val="18"/>
                <w:lang w:val="en-US"/>
              </w:rPr>
              <w:t>96</w:t>
            </w:r>
            <w:r w:rsidR="0071564F">
              <w:rPr>
                <w:rFonts w:cs="Arial"/>
                <w:sz w:val="18"/>
                <w:szCs w:val="18"/>
                <w:lang w:val="en-US"/>
              </w:rPr>
              <w:t xml:space="preserve"> EU</w:t>
            </w:r>
          </w:p>
        </w:tc>
        <w:tc>
          <w:tcPr>
            <w:tcW w:w="236" w:type="dxa"/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D6385" w:rsidRPr="004555C9" w:rsidTr="00134196">
        <w:trPr>
          <w:trHeight w:val="340"/>
        </w:trPr>
        <w:tc>
          <w:tcPr>
            <w:tcW w:w="250" w:type="dxa"/>
            <w:vAlign w:val="center"/>
          </w:tcPr>
          <w:p w:rsidR="008D6385" w:rsidRPr="004555C9" w:rsidRDefault="008D6385" w:rsidP="0068058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spacing w:line="276" w:lineRule="auto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i5-1145GRE</w:t>
            </w:r>
          </w:p>
        </w:tc>
        <w:tc>
          <w:tcPr>
            <w:tcW w:w="283" w:type="dxa"/>
            <w:vAlign w:val="center"/>
          </w:tcPr>
          <w:p w:rsidR="008D6385" w:rsidRPr="004555C9" w:rsidRDefault="008D6385" w:rsidP="0068058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80</w:t>
            </w:r>
            <w:r w:rsidR="0071564F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EU</w:t>
            </w:r>
          </w:p>
        </w:tc>
        <w:tc>
          <w:tcPr>
            <w:tcW w:w="236" w:type="dxa"/>
            <w:vAlign w:val="center"/>
          </w:tcPr>
          <w:p w:rsidR="008D6385" w:rsidRPr="004555C9" w:rsidRDefault="008D6385" w:rsidP="00680582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</w:tr>
      <w:tr w:rsidR="008D6385" w:rsidRPr="004555C9" w:rsidTr="00134196">
        <w:trPr>
          <w:trHeight w:val="340"/>
        </w:trPr>
        <w:tc>
          <w:tcPr>
            <w:tcW w:w="250" w:type="dxa"/>
            <w:vAlign w:val="center"/>
          </w:tcPr>
          <w:p w:rsidR="008D6385" w:rsidRPr="004555C9" w:rsidRDefault="008D6385" w:rsidP="0068058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spacing w:line="276" w:lineRule="auto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i3-1115GRE</w:t>
            </w:r>
          </w:p>
        </w:tc>
        <w:tc>
          <w:tcPr>
            <w:tcW w:w="283" w:type="dxa"/>
            <w:vAlign w:val="center"/>
          </w:tcPr>
          <w:p w:rsidR="008D6385" w:rsidRPr="004555C9" w:rsidRDefault="008D6385" w:rsidP="0068058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8D6385" w:rsidRPr="004555C9" w:rsidRDefault="008D6385" w:rsidP="00680582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85" w:rsidRPr="004555C9" w:rsidRDefault="008D6385" w:rsidP="00680582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48</w:t>
            </w:r>
            <w:r w:rsidR="0071564F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EU</w:t>
            </w:r>
          </w:p>
        </w:tc>
        <w:tc>
          <w:tcPr>
            <w:tcW w:w="236" w:type="dxa"/>
            <w:vAlign w:val="center"/>
          </w:tcPr>
          <w:p w:rsidR="008D6385" w:rsidRPr="004555C9" w:rsidRDefault="008D6385" w:rsidP="00680582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</w:tr>
      <w:tr w:rsidR="00290626" w:rsidRPr="004555C9" w:rsidTr="00134196">
        <w:trPr>
          <w:trHeight w:val="340"/>
        </w:trPr>
        <w:tc>
          <w:tcPr>
            <w:tcW w:w="250" w:type="dxa"/>
            <w:vAlign w:val="center"/>
          </w:tcPr>
          <w:p w:rsidR="00290626" w:rsidRPr="004555C9" w:rsidRDefault="00290626" w:rsidP="0068058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626" w:rsidRPr="004555C9" w:rsidRDefault="00290626" w:rsidP="00680582">
            <w:pPr>
              <w:spacing w:line="276" w:lineRule="auto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9561C0" w:rsidRPr="009561C0">
              <w:rPr>
                <w:rFonts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="009561C0" w:rsidRPr="009561C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Celeron</w:t>
            </w:r>
            <w:r w:rsidR="009561C0" w:rsidRPr="009561C0">
              <w:rPr>
                <w:rFonts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="009561C0" w:rsidRPr="009561C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6305E</w:t>
            </w:r>
          </w:p>
        </w:tc>
        <w:tc>
          <w:tcPr>
            <w:tcW w:w="283" w:type="dxa"/>
            <w:vAlign w:val="center"/>
          </w:tcPr>
          <w:p w:rsidR="00290626" w:rsidRPr="004555C9" w:rsidRDefault="00290626" w:rsidP="00680582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626" w:rsidRPr="004555C9" w:rsidRDefault="00754178" w:rsidP="00680582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2/2</w:t>
            </w:r>
          </w:p>
        </w:tc>
        <w:tc>
          <w:tcPr>
            <w:tcW w:w="236" w:type="dxa"/>
            <w:vAlign w:val="center"/>
          </w:tcPr>
          <w:p w:rsidR="00290626" w:rsidRPr="004555C9" w:rsidRDefault="00290626" w:rsidP="00680582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626" w:rsidRPr="004555C9" w:rsidRDefault="00754178" w:rsidP="00680582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1.8</w:t>
            </w:r>
          </w:p>
        </w:tc>
        <w:tc>
          <w:tcPr>
            <w:tcW w:w="236" w:type="dxa"/>
            <w:vAlign w:val="center"/>
          </w:tcPr>
          <w:p w:rsidR="00290626" w:rsidRPr="004555C9" w:rsidRDefault="00290626" w:rsidP="00680582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626" w:rsidRPr="004555C9" w:rsidRDefault="00754178" w:rsidP="00680582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626" w:rsidRPr="004555C9" w:rsidRDefault="00754178" w:rsidP="00680582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48</w:t>
            </w:r>
            <w:r w:rsidR="0071564F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EU</w:t>
            </w:r>
          </w:p>
        </w:tc>
        <w:tc>
          <w:tcPr>
            <w:tcW w:w="236" w:type="dxa"/>
            <w:vAlign w:val="center"/>
          </w:tcPr>
          <w:p w:rsidR="00290626" w:rsidRPr="004555C9" w:rsidRDefault="00290626" w:rsidP="00680582">
            <w:pPr>
              <w:jc w:val="center"/>
              <w:rPr>
                <w:rStyle w:val="Kommentarzeichen"/>
                <w:lang w:val="en-US"/>
              </w:rPr>
            </w:pPr>
          </w:p>
        </w:tc>
      </w:tr>
    </w:tbl>
    <w:p w:rsidR="008D6385" w:rsidRPr="004555C9" w:rsidRDefault="008D6385" w:rsidP="008D6385">
      <w:pPr>
        <w:rPr>
          <w:rFonts w:cs="Arial"/>
          <w:szCs w:val="22"/>
          <w:lang w:val="en-US"/>
        </w:rPr>
      </w:pPr>
    </w:p>
    <w:p w:rsidR="008D6385" w:rsidRPr="004555C9" w:rsidRDefault="008D6385" w:rsidP="008D6385">
      <w:pPr>
        <w:rPr>
          <w:rFonts w:cs="Arial"/>
          <w:szCs w:val="22"/>
          <w:lang w:val="en-US"/>
        </w:rPr>
      </w:pPr>
      <w:r w:rsidRPr="004555C9">
        <w:rPr>
          <w:rFonts w:cs="Arial"/>
          <w:szCs w:val="22"/>
          <w:lang w:val="en-US"/>
        </w:rPr>
        <w:t xml:space="preserve">Further information on the new </w:t>
      </w:r>
      <w:r w:rsidR="002C7535">
        <w:rPr>
          <w:rFonts w:cs="Arial"/>
          <w:szCs w:val="22"/>
          <w:lang w:val="en-US"/>
        </w:rPr>
        <w:t xml:space="preserve">conga-TC570r </w:t>
      </w:r>
      <w:r w:rsidRPr="004555C9">
        <w:rPr>
          <w:rFonts w:cs="Arial"/>
          <w:szCs w:val="22"/>
          <w:lang w:val="en-US"/>
        </w:rPr>
        <w:t xml:space="preserve">COM Express Compact module </w:t>
      </w:r>
      <w:r w:rsidR="00490464" w:rsidRPr="004555C9">
        <w:rPr>
          <w:rFonts w:cs="Arial"/>
          <w:szCs w:val="22"/>
          <w:lang w:val="en-US"/>
        </w:rPr>
        <w:t xml:space="preserve">can be found </w:t>
      </w:r>
      <w:r w:rsidRPr="004555C9">
        <w:rPr>
          <w:rFonts w:cs="Arial"/>
          <w:szCs w:val="22"/>
          <w:lang w:val="en-US"/>
        </w:rPr>
        <w:t>here:</w:t>
      </w:r>
      <w:r w:rsidR="00B0425B" w:rsidRPr="004555C9">
        <w:rPr>
          <w:rFonts w:cs="Arial"/>
          <w:szCs w:val="22"/>
          <w:lang w:val="en-US"/>
        </w:rPr>
        <w:t xml:space="preserve"> </w:t>
      </w:r>
      <w:hyperlink r:id="rId11" w:history="1">
        <w:r w:rsidR="008D25BB" w:rsidRPr="005B017F">
          <w:rPr>
            <w:rStyle w:val="Hyperlink"/>
            <w:rFonts w:cs="Arial"/>
            <w:szCs w:val="22"/>
            <w:lang w:val="en-US"/>
          </w:rPr>
          <w:t>www.congatec.com/en/products/com-express-type-6/conga-tc570r/</w:t>
        </w:r>
      </w:hyperlink>
    </w:p>
    <w:p w:rsidR="008D6385" w:rsidRPr="004555C9" w:rsidRDefault="008D6385" w:rsidP="008D6385">
      <w:pPr>
        <w:rPr>
          <w:rFonts w:cs="Arial"/>
          <w:b/>
          <w:szCs w:val="22"/>
          <w:lang w:val="en-US"/>
        </w:rPr>
      </w:pPr>
    </w:p>
    <w:p w:rsidR="008D6385" w:rsidRPr="004555C9" w:rsidRDefault="0066302C" w:rsidP="008D6385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</w:t>
      </w:r>
      <w:r w:rsidR="008D6385" w:rsidRPr="004555C9">
        <w:rPr>
          <w:rFonts w:cs="Arial"/>
          <w:szCs w:val="22"/>
          <w:lang w:val="en-US"/>
        </w:rPr>
        <w:t xml:space="preserve">nformation </w:t>
      </w:r>
      <w:r>
        <w:rPr>
          <w:rFonts w:cs="Arial"/>
          <w:szCs w:val="22"/>
          <w:lang w:val="en-US"/>
        </w:rPr>
        <w:t xml:space="preserve">on further </w:t>
      </w:r>
      <w:r w:rsidR="008D6385" w:rsidRPr="004555C9">
        <w:rPr>
          <w:rFonts w:cs="Arial"/>
          <w:szCs w:val="22"/>
          <w:lang w:val="en-US"/>
        </w:rPr>
        <w:t xml:space="preserve">Intel Tiger Lake </w:t>
      </w:r>
      <w:r w:rsidR="00BC4302">
        <w:rPr>
          <w:rFonts w:cs="Arial"/>
          <w:szCs w:val="22"/>
          <w:lang w:val="en-US"/>
        </w:rPr>
        <w:t>solutions</w:t>
      </w:r>
      <w:r>
        <w:rPr>
          <w:rFonts w:cs="Arial"/>
          <w:szCs w:val="22"/>
          <w:lang w:val="en-US"/>
        </w:rPr>
        <w:t xml:space="preserve"> from congatec </w:t>
      </w:r>
      <w:r w:rsidR="008D6385" w:rsidRPr="004555C9">
        <w:rPr>
          <w:rFonts w:cs="Arial"/>
          <w:szCs w:val="22"/>
          <w:lang w:val="en-US"/>
        </w:rPr>
        <w:t xml:space="preserve">can be found on the main landing page: </w:t>
      </w:r>
      <w:hyperlink r:id="rId12" w:history="1">
        <w:r w:rsidR="008D6385" w:rsidRPr="004555C9">
          <w:rPr>
            <w:rStyle w:val="Hyperlink"/>
            <w:rFonts w:cs="Arial"/>
            <w:szCs w:val="22"/>
            <w:lang w:val="en-US"/>
          </w:rPr>
          <w:t>https://congatec.com/11th-gen-intel-core/</w:t>
        </w:r>
      </w:hyperlink>
    </w:p>
    <w:p w:rsidR="00B2216B" w:rsidRPr="004555C9" w:rsidRDefault="00B2216B" w:rsidP="00871874">
      <w:pPr>
        <w:rPr>
          <w:rFonts w:cs="Arial"/>
          <w:szCs w:val="22"/>
          <w:lang w:val="en-US"/>
        </w:rPr>
      </w:pPr>
    </w:p>
    <w:p w:rsidR="00F76F29" w:rsidRPr="004555C9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4555C9">
        <w:rPr>
          <w:rFonts w:ascii="Arial" w:hAnsi="Arial" w:cs="Arial"/>
          <w:sz w:val="16"/>
          <w:szCs w:val="16"/>
          <w:lang w:val="en-US"/>
        </w:rPr>
        <w:t>* * *</w:t>
      </w:r>
    </w:p>
    <w:p w:rsidR="008005B7" w:rsidRPr="004555C9" w:rsidRDefault="008005B7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8005B7" w:rsidRPr="004555C9" w:rsidRDefault="008005B7" w:rsidP="00EC364C">
      <w:pPr>
        <w:pStyle w:val="xxmsonormal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16677" w:rsidRPr="004555C9" w:rsidRDefault="00016677" w:rsidP="00016677">
      <w:pPr>
        <w:pStyle w:val="xxmsonormal"/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4555C9"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:rsidR="00016677" w:rsidRPr="004555C9" w:rsidRDefault="00016677" w:rsidP="00016677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  <w:r w:rsidRPr="004555C9">
        <w:rPr>
          <w:rFonts w:cs="Arial"/>
          <w:sz w:val="16"/>
          <w:szCs w:val="16"/>
          <w:lang w:val="en-US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</w:t>
      </w:r>
      <w:proofErr w:type="gramStart"/>
      <w:r w:rsidRPr="004555C9">
        <w:rPr>
          <w:rFonts w:cs="Arial"/>
          <w:sz w:val="16"/>
          <w:szCs w:val="16"/>
          <w:lang w:val="en-US"/>
        </w:rPr>
        <w:t>congatec</w:t>
      </w:r>
      <w:proofErr w:type="gramEnd"/>
      <w:r w:rsidRPr="004555C9">
        <w:rPr>
          <w:rFonts w:cs="Arial"/>
          <w:sz w:val="16"/>
          <w:szCs w:val="16"/>
          <w:lang w:val="en-US"/>
        </w:rPr>
        <w:t xml:space="preserve"> is the global market leader in the computer-on-modules segment with an excellent customer base from start-ups to international blue chip companies. Founded in 2004 and headquartered in </w:t>
      </w:r>
      <w:proofErr w:type="spellStart"/>
      <w:r w:rsidRPr="004555C9">
        <w:rPr>
          <w:rFonts w:cs="Arial"/>
          <w:sz w:val="16"/>
          <w:szCs w:val="16"/>
          <w:lang w:val="en-US"/>
        </w:rPr>
        <w:t>Deggendorf</w:t>
      </w:r>
      <w:proofErr w:type="spellEnd"/>
      <w:r w:rsidRPr="004555C9">
        <w:rPr>
          <w:rFonts w:cs="Arial"/>
          <w:sz w:val="16"/>
          <w:szCs w:val="16"/>
          <w:lang w:val="en-US"/>
        </w:rPr>
        <w:t>, Germany, the company reached sales of 127.5 million US dollars in 2020.</w:t>
      </w:r>
      <w:r w:rsidR="00F507B2" w:rsidRPr="004555C9">
        <w:rPr>
          <w:rFonts w:cs="Arial"/>
          <w:sz w:val="16"/>
          <w:szCs w:val="16"/>
          <w:lang w:val="en-US"/>
        </w:rPr>
        <w:t xml:space="preserve"> </w:t>
      </w:r>
      <w:r w:rsidRPr="004555C9">
        <w:rPr>
          <w:rFonts w:cs="Arial"/>
          <w:sz w:val="16"/>
          <w:szCs w:val="16"/>
          <w:lang w:val="en-US"/>
        </w:rPr>
        <w:t xml:space="preserve">More information is available on our website at </w:t>
      </w:r>
      <w:hyperlink r:id="rId13" w:history="1">
        <w:r w:rsidR="004B73BD" w:rsidRPr="004555C9">
          <w:rPr>
            <w:rStyle w:val="Hyperlink"/>
            <w:rFonts w:cs="Arial"/>
            <w:sz w:val="16"/>
            <w:szCs w:val="16"/>
            <w:lang w:val="en-US"/>
          </w:rPr>
          <w:t>www.congatec.com</w:t>
        </w:r>
      </w:hyperlink>
      <w:r w:rsidR="003A1FBF">
        <w:rPr>
          <w:lang w:val="en-US"/>
        </w:rPr>
        <w:t xml:space="preserve"> </w:t>
      </w:r>
      <w:r w:rsidRPr="004555C9">
        <w:rPr>
          <w:rFonts w:cs="Arial"/>
          <w:sz w:val="16"/>
          <w:szCs w:val="16"/>
          <w:lang w:val="en-US"/>
        </w:rPr>
        <w:t xml:space="preserve">or via </w:t>
      </w:r>
      <w:hyperlink r:id="rId14" w:history="1">
        <w:r w:rsidRPr="004555C9">
          <w:rPr>
            <w:rStyle w:val="Hyperlink"/>
            <w:rFonts w:cs="Arial"/>
            <w:sz w:val="16"/>
            <w:szCs w:val="16"/>
            <w:lang w:val="en-US"/>
          </w:rPr>
          <w:t>LinkedIn</w:t>
        </w:r>
      </w:hyperlink>
      <w:r w:rsidRPr="004555C9">
        <w:rPr>
          <w:rFonts w:cs="Arial"/>
          <w:sz w:val="16"/>
          <w:szCs w:val="16"/>
          <w:lang w:val="en-US"/>
        </w:rPr>
        <w:t xml:space="preserve">, </w:t>
      </w:r>
      <w:hyperlink r:id="rId15" w:history="1">
        <w:r w:rsidRPr="004555C9">
          <w:rPr>
            <w:rStyle w:val="Hyperlink"/>
            <w:rFonts w:cs="Arial"/>
            <w:sz w:val="16"/>
            <w:szCs w:val="16"/>
            <w:lang w:val="en-US"/>
          </w:rPr>
          <w:t>Twitter</w:t>
        </w:r>
      </w:hyperlink>
      <w:r w:rsidRPr="004555C9">
        <w:rPr>
          <w:rFonts w:cs="Arial"/>
          <w:sz w:val="16"/>
          <w:szCs w:val="16"/>
          <w:lang w:val="en-US"/>
        </w:rPr>
        <w:t xml:space="preserve"> and </w:t>
      </w:r>
      <w:hyperlink r:id="rId16" w:history="1">
        <w:r w:rsidRPr="004555C9">
          <w:rPr>
            <w:rStyle w:val="Hyperlink"/>
            <w:rFonts w:cs="Arial"/>
            <w:sz w:val="16"/>
            <w:szCs w:val="16"/>
            <w:lang w:val="en-US"/>
          </w:rPr>
          <w:t>YouTube</w:t>
        </w:r>
      </w:hyperlink>
      <w:r w:rsidRPr="004555C9">
        <w:rPr>
          <w:rFonts w:cs="Arial"/>
          <w:sz w:val="16"/>
          <w:szCs w:val="16"/>
          <w:lang w:val="en-US"/>
        </w:rPr>
        <w:t>.</w:t>
      </w:r>
    </w:p>
    <w:p w:rsidR="00EC364C" w:rsidRPr="004555C9" w:rsidRDefault="00EC364C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B10D57" w:rsidRPr="00D9139E" w:rsidTr="00CE748D">
        <w:trPr>
          <w:trHeight w:val="270"/>
        </w:trPr>
        <w:tc>
          <w:tcPr>
            <w:tcW w:w="2552" w:type="dxa"/>
            <w:shd w:val="clear" w:color="auto" w:fill="auto"/>
          </w:tcPr>
          <w:p w:rsidR="00B10D57" w:rsidRPr="004555C9" w:rsidRDefault="00B10D57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C9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:rsidR="00B10D57" w:rsidRPr="004555C9" w:rsidRDefault="00B10D57" w:rsidP="00CE748D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4555C9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:rsidR="00B10D57" w:rsidRPr="004555C9" w:rsidRDefault="00B10D57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4555C9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:rsidR="00B10D57" w:rsidRPr="004555C9" w:rsidRDefault="00B10D57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4555C9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:rsidR="00B10D57" w:rsidRPr="004555C9" w:rsidRDefault="00790C02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B10D57" w:rsidRPr="004555C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B10D57" w:rsidRPr="004555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10D57" w:rsidRPr="004555C9" w:rsidRDefault="00790C02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hyperlink r:id="rId18" w:history="1">
              <w:r w:rsidR="00B10D57" w:rsidRPr="004555C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B10D57" w:rsidRPr="004555C9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C9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:rsidR="00B10D57" w:rsidRPr="004555C9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9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:rsidR="00B10D57" w:rsidRPr="004555C9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9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:rsidR="00B10D57" w:rsidRPr="004555C9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9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:rsidR="00B10D57" w:rsidRPr="004555C9" w:rsidRDefault="00790C02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="00B10D57" w:rsidRPr="004555C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B10D57" w:rsidRPr="004555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10D57" w:rsidRPr="004555C9" w:rsidRDefault="00790C02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hyperlink r:id="rId20" w:history="1">
              <w:r w:rsidR="00B10D57" w:rsidRPr="004555C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</w:tc>
      </w:tr>
    </w:tbl>
    <w:p w:rsidR="00B10D57" w:rsidRPr="004555C9" w:rsidRDefault="00B10D57" w:rsidP="00B10D5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B10D57" w:rsidRPr="004555C9" w:rsidRDefault="00B10D57" w:rsidP="00B10D57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4555C9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4555C9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21" w:history="1">
        <w:r w:rsidRPr="004555C9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B10D57" w:rsidRPr="004555C9" w:rsidRDefault="00B10D57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EC364C" w:rsidRPr="004555C9" w:rsidRDefault="00EC364C" w:rsidP="00EC364C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proofErr w:type="gramStart"/>
      <w:r w:rsidRPr="004555C9">
        <w:rPr>
          <w:rFonts w:ascii="Arial" w:hAnsi="Arial" w:cs="Arial"/>
          <w:i/>
          <w:iCs/>
          <w:sz w:val="16"/>
          <w:szCs w:val="16"/>
          <w:lang w:val="en-US"/>
        </w:rPr>
        <w:t>Intel, Celeron and Core are trademarks or registered trademarks of Intel Corporation in the U.S. and other countries.</w:t>
      </w:r>
      <w:proofErr w:type="gramEnd"/>
    </w:p>
    <w:p w:rsidR="009C76DA" w:rsidRPr="004555C9" w:rsidRDefault="009C76DA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sectPr w:rsidR="009C76DA" w:rsidRPr="004555C9" w:rsidSect="00B62671">
      <w:headerReference w:type="default" r:id="rId22"/>
      <w:footerReference w:type="default" r:id="rId23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BCAA09" w15:done="0"/>
  <w15:commentEx w15:paraId="3D654EB1" w15:done="0"/>
  <w15:commentEx w15:paraId="1F396F42" w15:done="0"/>
  <w15:commentEx w15:paraId="004300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96F19" w16cex:dateUtc="2021-07-02T17:55:00Z"/>
  <w16cex:commentExtensible w16cex:durableId="24897108" w16cex:dateUtc="2021-07-02T18:03:00Z"/>
  <w16cex:commentExtensible w16cex:durableId="24897168" w16cex:dateUtc="2021-07-02T1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BCAA09" w16cid:durableId="24896F19"/>
  <w16cid:commentId w16cid:paraId="3D654EB1" w16cid:durableId="248967F2"/>
  <w16cid:commentId w16cid:paraId="1F396F42" w16cid:durableId="24897108"/>
  <w16cid:commentId w16cid:paraId="004300B5" w16cid:durableId="248971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D7" w:rsidRDefault="00C81DD7" w:rsidP="00D97483">
      <w:r>
        <w:separator/>
      </w:r>
    </w:p>
  </w:endnote>
  <w:endnote w:type="continuationSeparator" w:id="0">
    <w:p w:rsidR="00C81DD7" w:rsidRDefault="00C81DD7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5" w:rsidRDefault="000C46E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D7" w:rsidRDefault="00C81DD7" w:rsidP="00D97483">
      <w:r>
        <w:separator/>
      </w:r>
    </w:p>
  </w:footnote>
  <w:footnote w:type="continuationSeparator" w:id="0">
    <w:p w:rsidR="00C81DD7" w:rsidRDefault="00C81DD7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5" w:rsidRPr="00BD2850" w:rsidRDefault="000C46E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0C46E5" w:rsidRPr="00BD2850" w:rsidRDefault="000C46E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0C46E5" w:rsidRPr="00BD2850" w:rsidRDefault="000C46E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0C46E5" w:rsidRPr="00BD2850" w:rsidRDefault="000C46E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0C46E5" w:rsidRPr="00BD2850" w:rsidRDefault="000C46E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0C46E5" w:rsidRPr="00BD2850" w:rsidRDefault="000C46E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0C46E5" w:rsidRPr="00BD2850" w:rsidRDefault="000C46E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0C46E5" w:rsidRPr="00BD2850" w:rsidRDefault="000C46E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0C46E5" w:rsidRPr="00BD2850" w:rsidRDefault="000C46E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109"/>
    <w:multiLevelType w:val="hybridMultilevel"/>
    <w:tmpl w:val="0FD83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ene Rae">
    <w15:presenceInfo w15:providerId="AD" w15:userId="S::Janene.Rae@congatec.com::1b75aefe-6cb5-40d2-988f-2df08e5585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3FA7"/>
    <w:rsid w:val="00006D58"/>
    <w:rsid w:val="00010369"/>
    <w:rsid w:val="00010745"/>
    <w:rsid w:val="00010EA1"/>
    <w:rsid w:val="00011D55"/>
    <w:rsid w:val="00016677"/>
    <w:rsid w:val="00021457"/>
    <w:rsid w:val="00027983"/>
    <w:rsid w:val="000355AD"/>
    <w:rsid w:val="00035738"/>
    <w:rsid w:val="00042600"/>
    <w:rsid w:val="00043787"/>
    <w:rsid w:val="00045E58"/>
    <w:rsid w:val="00047B6A"/>
    <w:rsid w:val="00047E06"/>
    <w:rsid w:val="00050C80"/>
    <w:rsid w:val="000553FB"/>
    <w:rsid w:val="00061EA3"/>
    <w:rsid w:val="0006483E"/>
    <w:rsid w:val="0006518A"/>
    <w:rsid w:val="00070990"/>
    <w:rsid w:val="00073E7D"/>
    <w:rsid w:val="00074F95"/>
    <w:rsid w:val="00086C00"/>
    <w:rsid w:val="0009529F"/>
    <w:rsid w:val="00096758"/>
    <w:rsid w:val="0009734E"/>
    <w:rsid w:val="000A1392"/>
    <w:rsid w:val="000A2EAF"/>
    <w:rsid w:val="000A30F4"/>
    <w:rsid w:val="000A394C"/>
    <w:rsid w:val="000A4662"/>
    <w:rsid w:val="000A4B1D"/>
    <w:rsid w:val="000A7084"/>
    <w:rsid w:val="000B2D97"/>
    <w:rsid w:val="000B53F9"/>
    <w:rsid w:val="000B6F0B"/>
    <w:rsid w:val="000C032B"/>
    <w:rsid w:val="000C0962"/>
    <w:rsid w:val="000C341D"/>
    <w:rsid w:val="000C46E5"/>
    <w:rsid w:val="000D4EE1"/>
    <w:rsid w:val="000D66D4"/>
    <w:rsid w:val="000D68BA"/>
    <w:rsid w:val="000E2307"/>
    <w:rsid w:val="000E343D"/>
    <w:rsid w:val="000E395C"/>
    <w:rsid w:val="000E3AAD"/>
    <w:rsid w:val="000E736A"/>
    <w:rsid w:val="000F15EB"/>
    <w:rsid w:val="000F34E8"/>
    <w:rsid w:val="00100CE2"/>
    <w:rsid w:val="00101DF6"/>
    <w:rsid w:val="00105BFE"/>
    <w:rsid w:val="00106F81"/>
    <w:rsid w:val="0011134D"/>
    <w:rsid w:val="00112E1A"/>
    <w:rsid w:val="00123D77"/>
    <w:rsid w:val="00132DD8"/>
    <w:rsid w:val="00134196"/>
    <w:rsid w:val="00135EBC"/>
    <w:rsid w:val="00136E20"/>
    <w:rsid w:val="0014038C"/>
    <w:rsid w:val="0014653E"/>
    <w:rsid w:val="0014730F"/>
    <w:rsid w:val="0015351A"/>
    <w:rsid w:val="00157343"/>
    <w:rsid w:val="00175EB3"/>
    <w:rsid w:val="00181222"/>
    <w:rsid w:val="00184202"/>
    <w:rsid w:val="001848D0"/>
    <w:rsid w:val="00184D6F"/>
    <w:rsid w:val="001854B5"/>
    <w:rsid w:val="00187AFE"/>
    <w:rsid w:val="00191804"/>
    <w:rsid w:val="00191F41"/>
    <w:rsid w:val="00192298"/>
    <w:rsid w:val="001A1ABC"/>
    <w:rsid w:val="001A277C"/>
    <w:rsid w:val="001B0700"/>
    <w:rsid w:val="001B126C"/>
    <w:rsid w:val="001B1A71"/>
    <w:rsid w:val="001B6B34"/>
    <w:rsid w:val="001C0038"/>
    <w:rsid w:val="001C6087"/>
    <w:rsid w:val="001D055C"/>
    <w:rsid w:val="001E2E5F"/>
    <w:rsid w:val="001E3D01"/>
    <w:rsid w:val="001E4FB1"/>
    <w:rsid w:val="001E7371"/>
    <w:rsid w:val="00202FDE"/>
    <w:rsid w:val="002065F2"/>
    <w:rsid w:val="00212286"/>
    <w:rsid w:val="00217039"/>
    <w:rsid w:val="00223722"/>
    <w:rsid w:val="00223F8A"/>
    <w:rsid w:val="00231F74"/>
    <w:rsid w:val="002368AC"/>
    <w:rsid w:val="002376DB"/>
    <w:rsid w:val="00240003"/>
    <w:rsid w:val="00242AE3"/>
    <w:rsid w:val="002438D8"/>
    <w:rsid w:val="0025043B"/>
    <w:rsid w:val="00254A75"/>
    <w:rsid w:val="002571A3"/>
    <w:rsid w:val="0025796B"/>
    <w:rsid w:val="00265C83"/>
    <w:rsid w:val="00286CC1"/>
    <w:rsid w:val="002872D2"/>
    <w:rsid w:val="00290626"/>
    <w:rsid w:val="00292D50"/>
    <w:rsid w:val="002957F3"/>
    <w:rsid w:val="0029792A"/>
    <w:rsid w:val="00297A5C"/>
    <w:rsid w:val="002A1662"/>
    <w:rsid w:val="002A217F"/>
    <w:rsid w:val="002A7A02"/>
    <w:rsid w:val="002B14DE"/>
    <w:rsid w:val="002B4B21"/>
    <w:rsid w:val="002B5DD9"/>
    <w:rsid w:val="002C28DA"/>
    <w:rsid w:val="002C597F"/>
    <w:rsid w:val="002C6553"/>
    <w:rsid w:val="002C6A1D"/>
    <w:rsid w:val="002C7535"/>
    <w:rsid w:val="002D095F"/>
    <w:rsid w:val="002D2920"/>
    <w:rsid w:val="002D3F17"/>
    <w:rsid w:val="002D56A3"/>
    <w:rsid w:val="002E333A"/>
    <w:rsid w:val="002E39C3"/>
    <w:rsid w:val="002E7863"/>
    <w:rsid w:val="002F035E"/>
    <w:rsid w:val="002F066A"/>
    <w:rsid w:val="002F16A9"/>
    <w:rsid w:val="002F1A60"/>
    <w:rsid w:val="002F2955"/>
    <w:rsid w:val="002F6466"/>
    <w:rsid w:val="00300096"/>
    <w:rsid w:val="0031068D"/>
    <w:rsid w:val="00311214"/>
    <w:rsid w:val="00316678"/>
    <w:rsid w:val="00331264"/>
    <w:rsid w:val="0033387F"/>
    <w:rsid w:val="00333EB3"/>
    <w:rsid w:val="00334450"/>
    <w:rsid w:val="0033610A"/>
    <w:rsid w:val="00336657"/>
    <w:rsid w:val="00337468"/>
    <w:rsid w:val="00340660"/>
    <w:rsid w:val="0034127E"/>
    <w:rsid w:val="0034162E"/>
    <w:rsid w:val="0034266E"/>
    <w:rsid w:val="00342A17"/>
    <w:rsid w:val="00345375"/>
    <w:rsid w:val="00353C44"/>
    <w:rsid w:val="0035632F"/>
    <w:rsid w:val="00356724"/>
    <w:rsid w:val="00360338"/>
    <w:rsid w:val="00361541"/>
    <w:rsid w:val="003674FC"/>
    <w:rsid w:val="003708F8"/>
    <w:rsid w:val="00371CDB"/>
    <w:rsid w:val="0037322D"/>
    <w:rsid w:val="00381183"/>
    <w:rsid w:val="003839C2"/>
    <w:rsid w:val="003853EC"/>
    <w:rsid w:val="00385A11"/>
    <w:rsid w:val="00386E85"/>
    <w:rsid w:val="0039029B"/>
    <w:rsid w:val="00390458"/>
    <w:rsid w:val="0039278C"/>
    <w:rsid w:val="003948CA"/>
    <w:rsid w:val="00394EEA"/>
    <w:rsid w:val="003A0171"/>
    <w:rsid w:val="003A1FBF"/>
    <w:rsid w:val="003A3807"/>
    <w:rsid w:val="003A7091"/>
    <w:rsid w:val="003A7BB4"/>
    <w:rsid w:val="003B002F"/>
    <w:rsid w:val="003B7234"/>
    <w:rsid w:val="003B7808"/>
    <w:rsid w:val="003C513C"/>
    <w:rsid w:val="003D0210"/>
    <w:rsid w:val="003D4675"/>
    <w:rsid w:val="003D5ED4"/>
    <w:rsid w:val="003E397A"/>
    <w:rsid w:val="003E6413"/>
    <w:rsid w:val="003E64B3"/>
    <w:rsid w:val="003F3269"/>
    <w:rsid w:val="003F3617"/>
    <w:rsid w:val="003F3A07"/>
    <w:rsid w:val="003F62FC"/>
    <w:rsid w:val="00402AAE"/>
    <w:rsid w:val="00413FB9"/>
    <w:rsid w:val="00425811"/>
    <w:rsid w:val="00431083"/>
    <w:rsid w:val="00431309"/>
    <w:rsid w:val="00431604"/>
    <w:rsid w:val="00431F25"/>
    <w:rsid w:val="00443C1F"/>
    <w:rsid w:val="00443C7F"/>
    <w:rsid w:val="00446472"/>
    <w:rsid w:val="00450C5C"/>
    <w:rsid w:val="00451C75"/>
    <w:rsid w:val="00451E34"/>
    <w:rsid w:val="004555C9"/>
    <w:rsid w:val="00455D31"/>
    <w:rsid w:val="00462316"/>
    <w:rsid w:val="00466A57"/>
    <w:rsid w:val="00475771"/>
    <w:rsid w:val="00476500"/>
    <w:rsid w:val="00480CD4"/>
    <w:rsid w:val="004841F7"/>
    <w:rsid w:val="0048522F"/>
    <w:rsid w:val="0048544A"/>
    <w:rsid w:val="00490464"/>
    <w:rsid w:val="00490E6A"/>
    <w:rsid w:val="004930EB"/>
    <w:rsid w:val="004A2CD5"/>
    <w:rsid w:val="004A2EEC"/>
    <w:rsid w:val="004A6525"/>
    <w:rsid w:val="004A6BD9"/>
    <w:rsid w:val="004B1541"/>
    <w:rsid w:val="004B35A4"/>
    <w:rsid w:val="004B3826"/>
    <w:rsid w:val="004B4B85"/>
    <w:rsid w:val="004B73BD"/>
    <w:rsid w:val="004D2177"/>
    <w:rsid w:val="004D3BA0"/>
    <w:rsid w:val="004D7F6A"/>
    <w:rsid w:val="004E0A27"/>
    <w:rsid w:val="004F08CB"/>
    <w:rsid w:val="00512A11"/>
    <w:rsid w:val="00513692"/>
    <w:rsid w:val="005168E6"/>
    <w:rsid w:val="00527922"/>
    <w:rsid w:val="00534612"/>
    <w:rsid w:val="005368EB"/>
    <w:rsid w:val="00543901"/>
    <w:rsid w:val="005479E8"/>
    <w:rsid w:val="005502A5"/>
    <w:rsid w:val="0055046D"/>
    <w:rsid w:val="0055155D"/>
    <w:rsid w:val="005551C9"/>
    <w:rsid w:val="0055706B"/>
    <w:rsid w:val="005674E1"/>
    <w:rsid w:val="0058053F"/>
    <w:rsid w:val="00586E57"/>
    <w:rsid w:val="005876A1"/>
    <w:rsid w:val="005905AA"/>
    <w:rsid w:val="005A656D"/>
    <w:rsid w:val="005B031E"/>
    <w:rsid w:val="005B049C"/>
    <w:rsid w:val="005B4653"/>
    <w:rsid w:val="005B7FE7"/>
    <w:rsid w:val="005C06D0"/>
    <w:rsid w:val="005C35E2"/>
    <w:rsid w:val="005C585A"/>
    <w:rsid w:val="005C5E4F"/>
    <w:rsid w:val="005C6F13"/>
    <w:rsid w:val="005D096A"/>
    <w:rsid w:val="005D0C47"/>
    <w:rsid w:val="005D217B"/>
    <w:rsid w:val="005D2D52"/>
    <w:rsid w:val="005E03EB"/>
    <w:rsid w:val="005E2474"/>
    <w:rsid w:val="005E401C"/>
    <w:rsid w:val="005F08FF"/>
    <w:rsid w:val="005F1760"/>
    <w:rsid w:val="005F2D01"/>
    <w:rsid w:val="005F7CEF"/>
    <w:rsid w:val="00600860"/>
    <w:rsid w:val="006061F7"/>
    <w:rsid w:val="00606A72"/>
    <w:rsid w:val="006142D4"/>
    <w:rsid w:val="00614A14"/>
    <w:rsid w:val="00620932"/>
    <w:rsid w:val="00623BD6"/>
    <w:rsid w:val="00625E49"/>
    <w:rsid w:val="006269A4"/>
    <w:rsid w:val="00627B30"/>
    <w:rsid w:val="00630751"/>
    <w:rsid w:val="00635478"/>
    <w:rsid w:val="00637E57"/>
    <w:rsid w:val="00640D57"/>
    <w:rsid w:val="00640FFB"/>
    <w:rsid w:val="0064417B"/>
    <w:rsid w:val="00646D08"/>
    <w:rsid w:val="00650D54"/>
    <w:rsid w:val="00654007"/>
    <w:rsid w:val="006578A1"/>
    <w:rsid w:val="00662AB5"/>
    <w:rsid w:val="0066302C"/>
    <w:rsid w:val="00664028"/>
    <w:rsid w:val="00664649"/>
    <w:rsid w:val="00667B3E"/>
    <w:rsid w:val="006721E1"/>
    <w:rsid w:val="0067240C"/>
    <w:rsid w:val="00673527"/>
    <w:rsid w:val="00680582"/>
    <w:rsid w:val="00690ECD"/>
    <w:rsid w:val="0069359A"/>
    <w:rsid w:val="00693B96"/>
    <w:rsid w:val="006A1238"/>
    <w:rsid w:val="006A1254"/>
    <w:rsid w:val="006A3CB0"/>
    <w:rsid w:val="006A6542"/>
    <w:rsid w:val="006B067A"/>
    <w:rsid w:val="006B0EE9"/>
    <w:rsid w:val="006C3B8A"/>
    <w:rsid w:val="006C4257"/>
    <w:rsid w:val="006C45B4"/>
    <w:rsid w:val="006D162D"/>
    <w:rsid w:val="006E28F0"/>
    <w:rsid w:val="006E3A49"/>
    <w:rsid w:val="006E3B67"/>
    <w:rsid w:val="006E4456"/>
    <w:rsid w:val="006E78FC"/>
    <w:rsid w:val="006E7CDD"/>
    <w:rsid w:val="006F2F40"/>
    <w:rsid w:val="006F35F5"/>
    <w:rsid w:val="006F6952"/>
    <w:rsid w:val="00700B93"/>
    <w:rsid w:val="00703782"/>
    <w:rsid w:val="00703F23"/>
    <w:rsid w:val="00706359"/>
    <w:rsid w:val="00706CDC"/>
    <w:rsid w:val="007074D1"/>
    <w:rsid w:val="00714EA9"/>
    <w:rsid w:val="0071564F"/>
    <w:rsid w:val="00723D1A"/>
    <w:rsid w:val="0072445C"/>
    <w:rsid w:val="00730753"/>
    <w:rsid w:val="007347A1"/>
    <w:rsid w:val="00735FC8"/>
    <w:rsid w:val="007372D4"/>
    <w:rsid w:val="00740CE2"/>
    <w:rsid w:val="007440EE"/>
    <w:rsid w:val="00745D08"/>
    <w:rsid w:val="00745E4D"/>
    <w:rsid w:val="00747135"/>
    <w:rsid w:val="00747A2A"/>
    <w:rsid w:val="007501EA"/>
    <w:rsid w:val="00751A5C"/>
    <w:rsid w:val="007527B5"/>
    <w:rsid w:val="00754178"/>
    <w:rsid w:val="00765B08"/>
    <w:rsid w:val="00765BA9"/>
    <w:rsid w:val="00767A44"/>
    <w:rsid w:val="00771AFC"/>
    <w:rsid w:val="0077601C"/>
    <w:rsid w:val="00776AE3"/>
    <w:rsid w:val="00781E04"/>
    <w:rsid w:val="00784949"/>
    <w:rsid w:val="0078770A"/>
    <w:rsid w:val="00790C02"/>
    <w:rsid w:val="00791907"/>
    <w:rsid w:val="007923DD"/>
    <w:rsid w:val="0079344C"/>
    <w:rsid w:val="00795F3E"/>
    <w:rsid w:val="00796054"/>
    <w:rsid w:val="007A073A"/>
    <w:rsid w:val="007A1EAB"/>
    <w:rsid w:val="007A2866"/>
    <w:rsid w:val="007A3A88"/>
    <w:rsid w:val="007B7850"/>
    <w:rsid w:val="007B794A"/>
    <w:rsid w:val="007C3B67"/>
    <w:rsid w:val="007C46E3"/>
    <w:rsid w:val="007C4EB0"/>
    <w:rsid w:val="007C5914"/>
    <w:rsid w:val="007D1C15"/>
    <w:rsid w:val="007D2FB6"/>
    <w:rsid w:val="007E0AEB"/>
    <w:rsid w:val="007E2B29"/>
    <w:rsid w:val="007E50C8"/>
    <w:rsid w:val="007E5156"/>
    <w:rsid w:val="007E752C"/>
    <w:rsid w:val="007F0D28"/>
    <w:rsid w:val="007F0DE0"/>
    <w:rsid w:val="007F3D6F"/>
    <w:rsid w:val="008005B7"/>
    <w:rsid w:val="00800B73"/>
    <w:rsid w:val="008014CA"/>
    <w:rsid w:val="008021E1"/>
    <w:rsid w:val="0080538D"/>
    <w:rsid w:val="008119CB"/>
    <w:rsid w:val="0081358A"/>
    <w:rsid w:val="00815A0F"/>
    <w:rsid w:val="0082049A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02E7"/>
    <w:rsid w:val="00855286"/>
    <w:rsid w:val="0085777E"/>
    <w:rsid w:val="00857DC3"/>
    <w:rsid w:val="00864325"/>
    <w:rsid w:val="008717F2"/>
    <w:rsid w:val="00871874"/>
    <w:rsid w:val="00872CFB"/>
    <w:rsid w:val="00877349"/>
    <w:rsid w:val="00881537"/>
    <w:rsid w:val="00881673"/>
    <w:rsid w:val="00881B43"/>
    <w:rsid w:val="0088225E"/>
    <w:rsid w:val="008851D2"/>
    <w:rsid w:val="0088590C"/>
    <w:rsid w:val="00886219"/>
    <w:rsid w:val="00890A60"/>
    <w:rsid w:val="008936A8"/>
    <w:rsid w:val="00896530"/>
    <w:rsid w:val="00897D1F"/>
    <w:rsid w:val="008A3AC6"/>
    <w:rsid w:val="008B4A04"/>
    <w:rsid w:val="008C012F"/>
    <w:rsid w:val="008C0AAF"/>
    <w:rsid w:val="008C136D"/>
    <w:rsid w:val="008C6E1C"/>
    <w:rsid w:val="008D24CD"/>
    <w:rsid w:val="008D25BB"/>
    <w:rsid w:val="008D6385"/>
    <w:rsid w:val="008E5A1D"/>
    <w:rsid w:val="008F0184"/>
    <w:rsid w:val="008F42FA"/>
    <w:rsid w:val="008F54B5"/>
    <w:rsid w:val="008F62AC"/>
    <w:rsid w:val="008F70A2"/>
    <w:rsid w:val="008F7963"/>
    <w:rsid w:val="009055B3"/>
    <w:rsid w:val="00911950"/>
    <w:rsid w:val="00915B34"/>
    <w:rsid w:val="0091604D"/>
    <w:rsid w:val="00917ECC"/>
    <w:rsid w:val="0092289C"/>
    <w:rsid w:val="00925008"/>
    <w:rsid w:val="009269F9"/>
    <w:rsid w:val="009310CF"/>
    <w:rsid w:val="009310D6"/>
    <w:rsid w:val="00931E10"/>
    <w:rsid w:val="009335F3"/>
    <w:rsid w:val="009348CC"/>
    <w:rsid w:val="009366AB"/>
    <w:rsid w:val="00937E4C"/>
    <w:rsid w:val="00942ADF"/>
    <w:rsid w:val="00943C17"/>
    <w:rsid w:val="00946819"/>
    <w:rsid w:val="009507AA"/>
    <w:rsid w:val="00955E11"/>
    <w:rsid w:val="009561C0"/>
    <w:rsid w:val="00957615"/>
    <w:rsid w:val="00957EBF"/>
    <w:rsid w:val="00961278"/>
    <w:rsid w:val="009632B1"/>
    <w:rsid w:val="009651A1"/>
    <w:rsid w:val="009702BE"/>
    <w:rsid w:val="0097120A"/>
    <w:rsid w:val="00971F3C"/>
    <w:rsid w:val="00976754"/>
    <w:rsid w:val="00976F6B"/>
    <w:rsid w:val="00983A26"/>
    <w:rsid w:val="00983B6D"/>
    <w:rsid w:val="00986868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5657"/>
    <w:rsid w:val="009A6289"/>
    <w:rsid w:val="009B280B"/>
    <w:rsid w:val="009B4B6B"/>
    <w:rsid w:val="009B6E8A"/>
    <w:rsid w:val="009C2318"/>
    <w:rsid w:val="009C26F0"/>
    <w:rsid w:val="009C39B2"/>
    <w:rsid w:val="009C65B6"/>
    <w:rsid w:val="009C67E6"/>
    <w:rsid w:val="009C76DA"/>
    <w:rsid w:val="009D595E"/>
    <w:rsid w:val="009E3A63"/>
    <w:rsid w:val="009E5E22"/>
    <w:rsid w:val="009F1BCA"/>
    <w:rsid w:val="009F1E40"/>
    <w:rsid w:val="009F4667"/>
    <w:rsid w:val="009F5C8A"/>
    <w:rsid w:val="00A06877"/>
    <w:rsid w:val="00A12150"/>
    <w:rsid w:val="00A12F2D"/>
    <w:rsid w:val="00A171BD"/>
    <w:rsid w:val="00A31844"/>
    <w:rsid w:val="00A31A5E"/>
    <w:rsid w:val="00A31EE8"/>
    <w:rsid w:val="00A342D1"/>
    <w:rsid w:val="00A40357"/>
    <w:rsid w:val="00A4208B"/>
    <w:rsid w:val="00A44F2E"/>
    <w:rsid w:val="00A4732D"/>
    <w:rsid w:val="00A54FB5"/>
    <w:rsid w:val="00A57761"/>
    <w:rsid w:val="00A61518"/>
    <w:rsid w:val="00A634ED"/>
    <w:rsid w:val="00A63E5F"/>
    <w:rsid w:val="00A67A16"/>
    <w:rsid w:val="00A8157E"/>
    <w:rsid w:val="00A863AE"/>
    <w:rsid w:val="00A906AA"/>
    <w:rsid w:val="00A90AE1"/>
    <w:rsid w:val="00A9129A"/>
    <w:rsid w:val="00A91859"/>
    <w:rsid w:val="00AA34A3"/>
    <w:rsid w:val="00AA5C4C"/>
    <w:rsid w:val="00AB3308"/>
    <w:rsid w:val="00AB3ABB"/>
    <w:rsid w:val="00AB6EDF"/>
    <w:rsid w:val="00AD2B3D"/>
    <w:rsid w:val="00AD560F"/>
    <w:rsid w:val="00AD6B52"/>
    <w:rsid w:val="00AD7D94"/>
    <w:rsid w:val="00AE6368"/>
    <w:rsid w:val="00AF0571"/>
    <w:rsid w:val="00AF60DB"/>
    <w:rsid w:val="00B000CE"/>
    <w:rsid w:val="00B0389C"/>
    <w:rsid w:val="00B0425B"/>
    <w:rsid w:val="00B10D57"/>
    <w:rsid w:val="00B14955"/>
    <w:rsid w:val="00B2216B"/>
    <w:rsid w:val="00B226F8"/>
    <w:rsid w:val="00B33182"/>
    <w:rsid w:val="00B37B7A"/>
    <w:rsid w:val="00B416C3"/>
    <w:rsid w:val="00B441EC"/>
    <w:rsid w:val="00B515F0"/>
    <w:rsid w:val="00B56D4A"/>
    <w:rsid w:val="00B62671"/>
    <w:rsid w:val="00B638FF"/>
    <w:rsid w:val="00B65B6F"/>
    <w:rsid w:val="00B74386"/>
    <w:rsid w:val="00B76850"/>
    <w:rsid w:val="00B845D4"/>
    <w:rsid w:val="00B86632"/>
    <w:rsid w:val="00B86D2C"/>
    <w:rsid w:val="00B8731A"/>
    <w:rsid w:val="00B93BA5"/>
    <w:rsid w:val="00B94688"/>
    <w:rsid w:val="00B95301"/>
    <w:rsid w:val="00B95E6B"/>
    <w:rsid w:val="00B96ED0"/>
    <w:rsid w:val="00BA1458"/>
    <w:rsid w:val="00BA1CB0"/>
    <w:rsid w:val="00BA3831"/>
    <w:rsid w:val="00BA5EC5"/>
    <w:rsid w:val="00BA651B"/>
    <w:rsid w:val="00BB04FE"/>
    <w:rsid w:val="00BB3BA7"/>
    <w:rsid w:val="00BB4499"/>
    <w:rsid w:val="00BB4D17"/>
    <w:rsid w:val="00BB575C"/>
    <w:rsid w:val="00BC4302"/>
    <w:rsid w:val="00BC7FDE"/>
    <w:rsid w:val="00BD26D1"/>
    <w:rsid w:val="00BD2850"/>
    <w:rsid w:val="00BD4A92"/>
    <w:rsid w:val="00BE055E"/>
    <w:rsid w:val="00BE6A4C"/>
    <w:rsid w:val="00BF1A8A"/>
    <w:rsid w:val="00C03A91"/>
    <w:rsid w:val="00C076CE"/>
    <w:rsid w:val="00C07938"/>
    <w:rsid w:val="00C10379"/>
    <w:rsid w:val="00C1056E"/>
    <w:rsid w:val="00C1254F"/>
    <w:rsid w:val="00C178C8"/>
    <w:rsid w:val="00C25E9F"/>
    <w:rsid w:val="00C3302E"/>
    <w:rsid w:val="00C34697"/>
    <w:rsid w:val="00C379E2"/>
    <w:rsid w:val="00C42100"/>
    <w:rsid w:val="00C51840"/>
    <w:rsid w:val="00C67C16"/>
    <w:rsid w:val="00C67E97"/>
    <w:rsid w:val="00C701D0"/>
    <w:rsid w:val="00C708AB"/>
    <w:rsid w:val="00C71636"/>
    <w:rsid w:val="00C738B4"/>
    <w:rsid w:val="00C80E04"/>
    <w:rsid w:val="00C81DD7"/>
    <w:rsid w:val="00C82104"/>
    <w:rsid w:val="00C83D12"/>
    <w:rsid w:val="00C87AB3"/>
    <w:rsid w:val="00C958C5"/>
    <w:rsid w:val="00C9595F"/>
    <w:rsid w:val="00C96F92"/>
    <w:rsid w:val="00CA0D75"/>
    <w:rsid w:val="00CA5BBA"/>
    <w:rsid w:val="00CB3C02"/>
    <w:rsid w:val="00CB3F57"/>
    <w:rsid w:val="00CB4A50"/>
    <w:rsid w:val="00CB4D4E"/>
    <w:rsid w:val="00CC137C"/>
    <w:rsid w:val="00CC2788"/>
    <w:rsid w:val="00CC5773"/>
    <w:rsid w:val="00CD19EC"/>
    <w:rsid w:val="00CD3B59"/>
    <w:rsid w:val="00CD5B3B"/>
    <w:rsid w:val="00CD6592"/>
    <w:rsid w:val="00CE2C7F"/>
    <w:rsid w:val="00CE3C20"/>
    <w:rsid w:val="00CE748D"/>
    <w:rsid w:val="00CF0B0F"/>
    <w:rsid w:val="00CF2C1D"/>
    <w:rsid w:val="00D00E35"/>
    <w:rsid w:val="00D03022"/>
    <w:rsid w:val="00D03C82"/>
    <w:rsid w:val="00D04620"/>
    <w:rsid w:val="00D0622A"/>
    <w:rsid w:val="00D07129"/>
    <w:rsid w:val="00D108AC"/>
    <w:rsid w:val="00D10AA2"/>
    <w:rsid w:val="00D1421C"/>
    <w:rsid w:val="00D14666"/>
    <w:rsid w:val="00D22DCD"/>
    <w:rsid w:val="00D23515"/>
    <w:rsid w:val="00D26CA7"/>
    <w:rsid w:val="00D300FD"/>
    <w:rsid w:val="00D308A6"/>
    <w:rsid w:val="00D33442"/>
    <w:rsid w:val="00D37EFC"/>
    <w:rsid w:val="00D401F9"/>
    <w:rsid w:val="00D4045F"/>
    <w:rsid w:val="00D406F4"/>
    <w:rsid w:val="00D4310E"/>
    <w:rsid w:val="00D44BFF"/>
    <w:rsid w:val="00D514B5"/>
    <w:rsid w:val="00D5329A"/>
    <w:rsid w:val="00D56872"/>
    <w:rsid w:val="00D6303C"/>
    <w:rsid w:val="00D65D4F"/>
    <w:rsid w:val="00D66622"/>
    <w:rsid w:val="00D700C2"/>
    <w:rsid w:val="00D757E4"/>
    <w:rsid w:val="00D75EA8"/>
    <w:rsid w:val="00D77A64"/>
    <w:rsid w:val="00D82DFF"/>
    <w:rsid w:val="00D85315"/>
    <w:rsid w:val="00D9139E"/>
    <w:rsid w:val="00D97483"/>
    <w:rsid w:val="00DA2F1F"/>
    <w:rsid w:val="00DA4058"/>
    <w:rsid w:val="00DA4873"/>
    <w:rsid w:val="00DA57D6"/>
    <w:rsid w:val="00DB0399"/>
    <w:rsid w:val="00DB6D61"/>
    <w:rsid w:val="00DB7A3D"/>
    <w:rsid w:val="00DC3A6C"/>
    <w:rsid w:val="00DC3B55"/>
    <w:rsid w:val="00DC3BD0"/>
    <w:rsid w:val="00DC5D6D"/>
    <w:rsid w:val="00DC7155"/>
    <w:rsid w:val="00DD27DA"/>
    <w:rsid w:val="00DE14B9"/>
    <w:rsid w:val="00DE150B"/>
    <w:rsid w:val="00DE2A02"/>
    <w:rsid w:val="00DF42D0"/>
    <w:rsid w:val="00DF642F"/>
    <w:rsid w:val="00E018BE"/>
    <w:rsid w:val="00E0599D"/>
    <w:rsid w:val="00E06489"/>
    <w:rsid w:val="00E077EE"/>
    <w:rsid w:val="00E12255"/>
    <w:rsid w:val="00E15F7E"/>
    <w:rsid w:val="00E1785F"/>
    <w:rsid w:val="00E2429A"/>
    <w:rsid w:val="00E27999"/>
    <w:rsid w:val="00E27A16"/>
    <w:rsid w:val="00E3179C"/>
    <w:rsid w:val="00E36DD7"/>
    <w:rsid w:val="00E37454"/>
    <w:rsid w:val="00E4004E"/>
    <w:rsid w:val="00E403CC"/>
    <w:rsid w:val="00E42FC7"/>
    <w:rsid w:val="00E529F9"/>
    <w:rsid w:val="00E5322D"/>
    <w:rsid w:val="00E55D4E"/>
    <w:rsid w:val="00E6142F"/>
    <w:rsid w:val="00E61695"/>
    <w:rsid w:val="00E61991"/>
    <w:rsid w:val="00E6293B"/>
    <w:rsid w:val="00E660F8"/>
    <w:rsid w:val="00E6752E"/>
    <w:rsid w:val="00E676BF"/>
    <w:rsid w:val="00E705FE"/>
    <w:rsid w:val="00E70B21"/>
    <w:rsid w:val="00E743D2"/>
    <w:rsid w:val="00E8535F"/>
    <w:rsid w:val="00E86593"/>
    <w:rsid w:val="00E91D8A"/>
    <w:rsid w:val="00E93AEA"/>
    <w:rsid w:val="00E94B78"/>
    <w:rsid w:val="00E953EE"/>
    <w:rsid w:val="00EA0E59"/>
    <w:rsid w:val="00EA28D0"/>
    <w:rsid w:val="00EA602D"/>
    <w:rsid w:val="00EA6510"/>
    <w:rsid w:val="00EA6BD4"/>
    <w:rsid w:val="00EB31F0"/>
    <w:rsid w:val="00EC06F4"/>
    <w:rsid w:val="00EC0E4B"/>
    <w:rsid w:val="00EC0F56"/>
    <w:rsid w:val="00EC364C"/>
    <w:rsid w:val="00EC5DB5"/>
    <w:rsid w:val="00EC6357"/>
    <w:rsid w:val="00EC6ACF"/>
    <w:rsid w:val="00ED020E"/>
    <w:rsid w:val="00ED0D3B"/>
    <w:rsid w:val="00ED2EB2"/>
    <w:rsid w:val="00ED737D"/>
    <w:rsid w:val="00EE2731"/>
    <w:rsid w:val="00EE3921"/>
    <w:rsid w:val="00EE3DF8"/>
    <w:rsid w:val="00EE4AB0"/>
    <w:rsid w:val="00EE5596"/>
    <w:rsid w:val="00EE5621"/>
    <w:rsid w:val="00EE5C79"/>
    <w:rsid w:val="00F014BE"/>
    <w:rsid w:val="00F0237C"/>
    <w:rsid w:val="00F0458F"/>
    <w:rsid w:val="00F0567D"/>
    <w:rsid w:val="00F074A1"/>
    <w:rsid w:val="00F14FAA"/>
    <w:rsid w:val="00F23EC1"/>
    <w:rsid w:val="00F2409C"/>
    <w:rsid w:val="00F24F75"/>
    <w:rsid w:val="00F30BF4"/>
    <w:rsid w:val="00F316C9"/>
    <w:rsid w:val="00F33CF0"/>
    <w:rsid w:val="00F356A3"/>
    <w:rsid w:val="00F425CD"/>
    <w:rsid w:val="00F43F67"/>
    <w:rsid w:val="00F453DD"/>
    <w:rsid w:val="00F4736C"/>
    <w:rsid w:val="00F507B2"/>
    <w:rsid w:val="00F53780"/>
    <w:rsid w:val="00F55095"/>
    <w:rsid w:val="00F56512"/>
    <w:rsid w:val="00F57BB5"/>
    <w:rsid w:val="00F618B0"/>
    <w:rsid w:val="00F62158"/>
    <w:rsid w:val="00F62304"/>
    <w:rsid w:val="00F6729F"/>
    <w:rsid w:val="00F7300D"/>
    <w:rsid w:val="00F763C6"/>
    <w:rsid w:val="00F76F29"/>
    <w:rsid w:val="00F80D86"/>
    <w:rsid w:val="00F814C1"/>
    <w:rsid w:val="00F82E06"/>
    <w:rsid w:val="00F907D6"/>
    <w:rsid w:val="00F91E62"/>
    <w:rsid w:val="00F96573"/>
    <w:rsid w:val="00FA1A88"/>
    <w:rsid w:val="00FA1EB2"/>
    <w:rsid w:val="00FA21C9"/>
    <w:rsid w:val="00FA2F80"/>
    <w:rsid w:val="00FA3174"/>
    <w:rsid w:val="00FA59F2"/>
    <w:rsid w:val="00FA7191"/>
    <w:rsid w:val="00FB1113"/>
    <w:rsid w:val="00FB135C"/>
    <w:rsid w:val="00FB1EC5"/>
    <w:rsid w:val="00FB2636"/>
    <w:rsid w:val="00FB6992"/>
    <w:rsid w:val="00FB69EB"/>
    <w:rsid w:val="00FB7553"/>
    <w:rsid w:val="00FC2026"/>
    <w:rsid w:val="00FC2B3A"/>
    <w:rsid w:val="00FC7064"/>
    <w:rsid w:val="00FD506B"/>
    <w:rsid w:val="00FD57F4"/>
    <w:rsid w:val="00FD5D5C"/>
    <w:rsid w:val="00FE4043"/>
    <w:rsid w:val="00FE46D8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3C6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customStyle="1" w:styleId="markedcontent">
    <w:name w:val="markedcontent"/>
    <w:basedOn w:val="Absatz-Standardschriftart"/>
    <w:rsid w:val="00290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gatec.com/" TargetMode="External"/><Relationship Id="rId18" Type="http://schemas.openxmlformats.org/officeDocument/2006/relationships/hyperlink" Target="http://www.congatec.com" TargetMode="Externa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yperlink" Target="https://www.congatec.com/en/congatec/press-release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ongatec.com/11th-gen-intel-core/" TargetMode="External"/><Relationship Id="rId17" Type="http://schemas.openxmlformats.org/officeDocument/2006/relationships/hyperlink" Target="mailto:info@congatec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ongatecAE" TargetMode="External"/><Relationship Id="rId20" Type="http://schemas.openxmlformats.org/officeDocument/2006/relationships/hyperlink" Target="http://www.sams-network.com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gatec.com/en/products/com-express-type-6/conga-tc570r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witter.com/congatecAG" TargetMode="External"/><Relationship Id="rId23" Type="http://schemas.openxmlformats.org/officeDocument/2006/relationships/footer" Target="footer1.xml"/><Relationship Id="rId28" Type="http://schemas.microsoft.com/office/2018/08/relationships/commentsExtensible" Target="commentsExtensible.xml"/><Relationship Id="rId10" Type="http://schemas.openxmlformats.org/officeDocument/2006/relationships/image" Target="media/image2.jpeg"/><Relationship Id="rId19" Type="http://schemas.openxmlformats.org/officeDocument/2006/relationships/hyperlink" Target="mailto:info@sams-networ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linkedin.com/company/congatec/" TargetMode="External"/><Relationship Id="rId22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2800-9595-4E77-973A-C2CC70A82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00AB0-B986-4E09-9CF7-B10EA4B9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Nadine Schiele</cp:lastModifiedBy>
  <cp:revision>16</cp:revision>
  <cp:lastPrinted>2020-12-07T11:00:00Z</cp:lastPrinted>
  <dcterms:created xsi:type="dcterms:W3CDTF">2021-07-08T09:47:00Z</dcterms:created>
  <dcterms:modified xsi:type="dcterms:W3CDTF">2021-07-13T07:23:00Z</dcterms:modified>
</cp:coreProperties>
</file>