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41" w:rsidRDefault="00B62671" w:rsidP="00C519AC">
      <w:pPr>
        <w:pStyle w:val="berschrift1"/>
      </w:pPr>
      <w:r w:rsidRPr="00B62671">
        <w:rPr>
          <w:noProof/>
          <w:lang w:eastAsia="de-DE"/>
        </w:rPr>
        <w:drawing>
          <wp:anchor distT="0" distB="0" distL="114300" distR="114300" simplePos="0" relativeHeight="251659264" behindDoc="0" locked="0" layoutInCell="1" allowOverlap="1">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r w:rsidR="00841B78">
        <w:t>P</w:t>
      </w:r>
      <w:r w:rsidR="00191F41" w:rsidRPr="006F2F40">
        <w:t>ressemitteilung</w:t>
      </w:r>
    </w:p>
    <w:p w:rsidR="00C958C5" w:rsidRDefault="00C958C5" w:rsidP="00C519AC">
      <w:pPr>
        <w:pStyle w:val="berschrift1"/>
      </w:pPr>
    </w:p>
    <w:p w:rsidR="00C958C5" w:rsidRPr="005A3710" w:rsidRDefault="00C958C5" w:rsidP="00C519AC">
      <w:pPr>
        <w:pStyle w:val="berschrift1"/>
      </w:pPr>
    </w:p>
    <w:p w:rsidR="00540057" w:rsidRDefault="00540057" w:rsidP="00C27445">
      <w:pPr>
        <w:rPr>
          <w:rFonts w:cs="Arial"/>
          <w:szCs w:val="22"/>
        </w:rPr>
      </w:pPr>
      <w:r w:rsidRPr="00540057">
        <w:rPr>
          <w:rFonts w:cs="Arial"/>
          <w:szCs w:val="22"/>
        </w:rPr>
        <w:t>congatec Starterset für COM-HPC</w:t>
      </w:r>
      <w:r w:rsidRPr="00540057">
        <w:rPr>
          <w:rFonts w:cs="Arial"/>
          <w:szCs w:val="22"/>
          <w:vertAlign w:val="superscript"/>
        </w:rPr>
        <w:t>™</w:t>
      </w:r>
      <w:r w:rsidRPr="00540057">
        <w:rPr>
          <w:rFonts w:cs="Arial"/>
          <w:szCs w:val="22"/>
        </w:rPr>
        <w:t xml:space="preserve"> mit Intel</w:t>
      </w:r>
      <w:r w:rsidRPr="00540057">
        <w:rPr>
          <w:rFonts w:cs="Arial"/>
          <w:szCs w:val="22"/>
          <w:vertAlign w:val="superscript"/>
        </w:rPr>
        <w:t>®</w:t>
      </w:r>
      <w:r w:rsidRPr="00540057">
        <w:rPr>
          <w:rFonts w:cs="Arial"/>
          <w:szCs w:val="22"/>
        </w:rPr>
        <w:t xml:space="preserve"> Core™ Prozessoren</w:t>
      </w:r>
      <w:r>
        <w:rPr>
          <w:rFonts w:cs="Arial"/>
          <w:szCs w:val="22"/>
        </w:rPr>
        <w:t xml:space="preserve"> der </w:t>
      </w:r>
      <w:r w:rsidRPr="00540057">
        <w:rPr>
          <w:rFonts w:cs="Arial"/>
          <w:szCs w:val="22"/>
        </w:rPr>
        <w:t>11</w:t>
      </w:r>
      <w:r>
        <w:rPr>
          <w:rFonts w:cs="Arial"/>
          <w:szCs w:val="22"/>
        </w:rPr>
        <w:t>.</w:t>
      </w:r>
      <w:r w:rsidRPr="00540057">
        <w:rPr>
          <w:rFonts w:cs="Arial"/>
          <w:szCs w:val="22"/>
        </w:rPr>
        <w:t xml:space="preserve"> Gen</w:t>
      </w:r>
      <w:r>
        <w:rPr>
          <w:rFonts w:cs="Arial"/>
          <w:szCs w:val="22"/>
        </w:rPr>
        <w:t>eration</w:t>
      </w:r>
    </w:p>
    <w:p w:rsidR="00F36919" w:rsidRPr="00540057" w:rsidRDefault="00F36919" w:rsidP="00C27445">
      <w:pPr>
        <w:rPr>
          <w:rFonts w:cs="Arial"/>
          <w:szCs w:val="22"/>
        </w:rPr>
      </w:pPr>
    </w:p>
    <w:p w:rsidR="00540057" w:rsidRPr="0026670B" w:rsidRDefault="00540057" w:rsidP="0026670B">
      <w:pPr>
        <w:pStyle w:val="berschrift1"/>
        <w:rPr>
          <w:rStyle w:val="Kommentarzeichen1"/>
          <w:sz w:val="44"/>
          <w:szCs w:val="22"/>
        </w:rPr>
      </w:pPr>
      <w:r w:rsidRPr="0026670B">
        <w:t>Auf der Überholspur zu Gen4</w:t>
      </w:r>
    </w:p>
    <w:p w:rsidR="00540057" w:rsidRDefault="00540057" w:rsidP="00C27445">
      <w:pPr>
        <w:rPr>
          <w:rStyle w:val="Kommentarzeichen1"/>
          <w:rFonts w:cs="Arial"/>
          <w:b/>
          <w:sz w:val="22"/>
          <w:szCs w:val="22"/>
          <w:lang w:val="en-US"/>
        </w:rPr>
      </w:pPr>
      <w:r>
        <w:rPr>
          <w:rFonts w:cs="Arial"/>
          <w:b/>
          <w:noProof/>
          <w:szCs w:val="22"/>
          <w:lang w:eastAsia="de-DE"/>
        </w:rPr>
        <w:drawing>
          <wp:inline distT="0" distB="0" distL="0" distR="0">
            <wp:extent cx="5581650" cy="2790825"/>
            <wp:effectExtent l="19050" t="0" r="0" b="0"/>
            <wp:docPr id="6" name="Grafik 2" descr="HPCc_EVAL HPCc_TLU 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PCc_EVAL HPCc_TLU HP.jpg"/>
                    <pic:cNvPicPr>
                      <a:picLocks noChangeAspect="1" noChangeArrowheads="1"/>
                    </pic:cNvPicPr>
                  </pic:nvPicPr>
                  <pic:blipFill>
                    <a:blip r:embed="rId9" cstate="print"/>
                    <a:srcRect/>
                    <a:stretch>
                      <a:fillRect/>
                    </a:stretch>
                  </pic:blipFill>
                  <pic:spPr bwMode="auto">
                    <a:xfrm>
                      <a:off x="0" y="0"/>
                      <a:ext cx="5581650" cy="2790825"/>
                    </a:xfrm>
                    <a:prstGeom prst="rect">
                      <a:avLst/>
                    </a:prstGeom>
                    <a:noFill/>
                    <a:ln w="9525">
                      <a:noFill/>
                      <a:miter lim="800000"/>
                      <a:headEnd/>
                      <a:tailEnd/>
                    </a:ln>
                  </pic:spPr>
                </pic:pic>
              </a:graphicData>
            </a:graphic>
          </wp:inline>
        </w:drawing>
      </w:r>
    </w:p>
    <w:p w:rsidR="00540057" w:rsidRPr="00540057" w:rsidRDefault="00540057" w:rsidP="00C27445">
      <w:pPr>
        <w:rPr>
          <w:rStyle w:val="Kommentarzeichen1"/>
          <w:rFonts w:cs="Arial"/>
          <w:sz w:val="22"/>
          <w:szCs w:val="22"/>
        </w:rPr>
      </w:pPr>
      <w:r w:rsidRPr="005A3710">
        <w:rPr>
          <w:rFonts w:cs="Arial"/>
          <w:b/>
          <w:szCs w:val="22"/>
        </w:rPr>
        <w:t xml:space="preserve">Deggendorf, 02. </w:t>
      </w:r>
      <w:r w:rsidRPr="00540057">
        <w:rPr>
          <w:rFonts w:cs="Arial"/>
          <w:b/>
          <w:szCs w:val="22"/>
        </w:rPr>
        <w:t>März 2021 * * *</w:t>
      </w:r>
      <w:r w:rsidRPr="00540057">
        <w:rPr>
          <w:rFonts w:cs="Arial"/>
          <w:szCs w:val="22"/>
        </w:rPr>
        <w:t xml:space="preserve"> congatec – ein führender Anbieter von Embedded und Edge Computer Technologie – </w:t>
      </w:r>
      <w:r w:rsidRPr="00540057">
        <w:rPr>
          <w:rStyle w:val="Kommentarzeichen1"/>
          <w:rFonts w:cs="Arial"/>
          <w:sz w:val="22"/>
          <w:szCs w:val="22"/>
        </w:rPr>
        <w:t xml:space="preserve">präsentiert auf der embedded </w:t>
      </w:r>
      <w:proofErr w:type="spellStart"/>
      <w:r w:rsidRPr="00540057">
        <w:rPr>
          <w:rStyle w:val="Kommentarzeichen1"/>
          <w:rFonts w:cs="Arial"/>
          <w:sz w:val="22"/>
          <w:szCs w:val="22"/>
        </w:rPr>
        <w:t>world</w:t>
      </w:r>
      <w:proofErr w:type="spellEnd"/>
      <w:r w:rsidRPr="00540057">
        <w:rPr>
          <w:rStyle w:val="Kommentarzeichen1"/>
          <w:rFonts w:cs="Arial"/>
          <w:sz w:val="22"/>
          <w:szCs w:val="22"/>
        </w:rPr>
        <w:t xml:space="preserve"> 2021 DIGITAL ein brandneues Starterset </w:t>
      </w:r>
      <w:r>
        <w:rPr>
          <w:rStyle w:val="Kommentarzeichen1"/>
          <w:rFonts w:cs="Arial"/>
          <w:sz w:val="22"/>
          <w:szCs w:val="22"/>
        </w:rPr>
        <w:t>für COM-HPC</w:t>
      </w:r>
      <w:r w:rsidRPr="00C27445">
        <w:rPr>
          <w:rStyle w:val="Kommentarzeichen1"/>
          <w:rFonts w:cs="Arial"/>
          <w:sz w:val="22"/>
          <w:szCs w:val="22"/>
          <w:vertAlign w:val="superscript"/>
        </w:rPr>
        <w:t>™</w:t>
      </w:r>
      <w:r w:rsidRPr="00540057">
        <w:rPr>
          <w:rStyle w:val="Kommentarzeichen1"/>
          <w:rFonts w:cs="Arial"/>
          <w:sz w:val="22"/>
          <w:szCs w:val="22"/>
        </w:rPr>
        <w:t xml:space="preserve">. </w:t>
      </w:r>
      <w:r>
        <w:rPr>
          <w:rStyle w:val="Kommentarzeichen1"/>
          <w:rFonts w:cs="Arial"/>
          <w:sz w:val="22"/>
          <w:szCs w:val="22"/>
        </w:rPr>
        <w:t xml:space="preserve">Es ist </w:t>
      </w:r>
      <w:r w:rsidRPr="00540057">
        <w:rPr>
          <w:rStyle w:val="Kommentarzeichen1"/>
          <w:rFonts w:cs="Arial"/>
          <w:sz w:val="22"/>
          <w:szCs w:val="22"/>
        </w:rPr>
        <w:t>für modulare Systemdesigns</w:t>
      </w:r>
      <w:r>
        <w:rPr>
          <w:rStyle w:val="Kommentarzeichen1"/>
          <w:rFonts w:cs="Arial"/>
          <w:sz w:val="22"/>
          <w:szCs w:val="22"/>
        </w:rPr>
        <w:t xml:space="preserve"> </w:t>
      </w:r>
      <w:r w:rsidR="00406DD0">
        <w:rPr>
          <w:rStyle w:val="Kommentarzeichen1"/>
          <w:rFonts w:cs="Arial"/>
          <w:sz w:val="22"/>
          <w:szCs w:val="22"/>
        </w:rPr>
        <w:t>optimiert</w:t>
      </w:r>
      <w:r w:rsidRPr="00540057">
        <w:rPr>
          <w:rStyle w:val="Kommentarzeichen1"/>
          <w:rFonts w:cs="Arial"/>
          <w:sz w:val="22"/>
          <w:szCs w:val="22"/>
        </w:rPr>
        <w:t xml:space="preserve">, die die neuesten High-Speed-Schnittstellentechnologien wie PCIe Gen4, USB 4.0 und ultraschnelle </w:t>
      </w:r>
      <w:r w:rsidR="00CA169C" w:rsidRPr="00540057">
        <w:rPr>
          <w:rStyle w:val="Kommentarzeichen1"/>
          <w:rFonts w:cs="Arial"/>
          <w:sz w:val="22"/>
          <w:szCs w:val="22"/>
        </w:rPr>
        <w:t xml:space="preserve">bis zu </w:t>
      </w:r>
      <w:r w:rsidRPr="00540057">
        <w:rPr>
          <w:rStyle w:val="Kommentarzeichen1"/>
          <w:rFonts w:cs="Arial"/>
          <w:sz w:val="22"/>
          <w:szCs w:val="22"/>
        </w:rPr>
        <w:t xml:space="preserve">2x25 GbE-Konnektivität sowie </w:t>
      </w:r>
      <w:r w:rsidR="00C0557B">
        <w:rPr>
          <w:rStyle w:val="Kommentarzeichen1"/>
          <w:rFonts w:cs="Arial"/>
          <w:sz w:val="22"/>
          <w:szCs w:val="22"/>
        </w:rPr>
        <w:t xml:space="preserve">die </w:t>
      </w:r>
      <w:r w:rsidRPr="00540057">
        <w:rPr>
          <w:rStyle w:val="Kommentarzeichen1"/>
          <w:rFonts w:cs="Arial"/>
          <w:sz w:val="22"/>
          <w:szCs w:val="22"/>
        </w:rPr>
        <w:t>integrierte MIP</w:t>
      </w:r>
      <w:r>
        <w:rPr>
          <w:rStyle w:val="Kommentarzeichen1"/>
          <w:rFonts w:cs="Arial"/>
          <w:sz w:val="22"/>
          <w:szCs w:val="22"/>
        </w:rPr>
        <w:t>I-CSI-Vision-</w:t>
      </w:r>
      <w:r w:rsidR="00C0557B">
        <w:rPr>
          <w:rStyle w:val="Kommentarzeichen1"/>
          <w:rFonts w:cs="Arial"/>
          <w:sz w:val="22"/>
          <w:szCs w:val="22"/>
        </w:rPr>
        <w:t>Funktionalität</w:t>
      </w:r>
      <w:r>
        <w:rPr>
          <w:rStyle w:val="Kommentarzeichen1"/>
          <w:rFonts w:cs="Arial"/>
          <w:sz w:val="22"/>
          <w:szCs w:val="22"/>
        </w:rPr>
        <w:t xml:space="preserve"> nutzen</w:t>
      </w:r>
      <w:r w:rsidR="00CE495B">
        <w:rPr>
          <w:rStyle w:val="Kommentarzeichen1"/>
          <w:rFonts w:cs="Arial"/>
          <w:sz w:val="22"/>
          <w:szCs w:val="22"/>
        </w:rPr>
        <w:t>. Es</w:t>
      </w:r>
      <w:r w:rsidR="00406DD0">
        <w:rPr>
          <w:rStyle w:val="Kommentarzeichen1"/>
          <w:rFonts w:cs="Arial"/>
          <w:sz w:val="22"/>
          <w:szCs w:val="22"/>
        </w:rPr>
        <w:t xml:space="preserve"> </w:t>
      </w:r>
      <w:r>
        <w:rPr>
          <w:rStyle w:val="Kommentarzeichen1"/>
          <w:rFonts w:cs="Arial"/>
          <w:sz w:val="22"/>
          <w:szCs w:val="22"/>
        </w:rPr>
        <w:t xml:space="preserve">basiert </w:t>
      </w:r>
      <w:r w:rsidRPr="00540057">
        <w:rPr>
          <w:rStyle w:val="Kommentarzeichen1"/>
          <w:rFonts w:cs="Arial"/>
          <w:sz w:val="22"/>
          <w:szCs w:val="22"/>
        </w:rPr>
        <w:t>auf congatec</w:t>
      </w:r>
      <w:r w:rsidR="00C27445">
        <w:rPr>
          <w:rStyle w:val="Kommentarzeichen1"/>
          <w:rFonts w:cs="Arial"/>
          <w:sz w:val="22"/>
          <w:szCs w:val="22"/>
        </w:rPr>
        <w:t>‘</w:t>
      </w:r>
      <w:r w:rsidRPr="00540057">
        <w:rPr>
          <w:rStyle w:val="Kommentarzeichen1"/>
          <w:rFonts w:cs="Arial"/>
          <w:sz w:val="22"/>
          <w:szCs w:val="22"/>
        </w:rPr>
        <w:t xml:space="preserve">s PICMG COM-HPC Computer-on-Module </w:t>
      </w:r>
      <w:proofErr w:type="spellStart"/>
      <w:r w:rsidRPr="00540057">
        <w:rPr>
          <w:rStyle w:val="Kommentarzeichen1"/>
          <w:rFonts w:cs="Arial"/>
          <w:sz w:val="22"/>
          <w:szCs w:val="22"/>
        </w:rPr>
        <w:t>conga</w:t>
      </w:r>
      <w:proofErr w:type="spellEnd"/>
      <w:r w:rsidRPr="00540057">
        <w:rPr>
          <w:rStyle w:val="Kommentarzeichen1"/>
          <w:rFonts w:cs="Arial"/>
          <w:sz w:val="22"/>
          <w:szCs w:val="22"/>
        </w:rPr>
        <w:t>-HPC/</w:t>
      </w:r>
      <w:proofErr w:type="spellStart"/>
      <w:r w:rsidRPr="00540057">
        <w:rPr>
          <w:rStyle w:val="Kommentarzeichen1"/>
          <w:rFonts w:cs="Arial"/>
          <w:sz w:val="22"/>
          <w:szCs w:val="22"/>
        </w:rPr>
        <w:t>cTLU</w:t>
      </w:r>
      <w:proofErr w:type="spellEnd"/>
      <w:r w:rsidRPr="00540057">
        <w:rPr>
          <w:rStyle w:val="Kommentarzeichen1"/>
          <w:rFonts w:cs="Arial"/>
          <w:sz w:val="22"/>
          <w:szCs w:val="22"/>
        </w:rPr>
        <w:t xml:space="preserve">, das </w:t>
      </w:r>
      <w:r w:rsidR="00C0557B">
        <w:rPr>
          <w:rStyle w:val="Kommentarzeichen1"/>
          <w:rFonts w:cs="Arial"/>
          <w:sz w:val="22"/>
          <w:szCs w:val="22"/>
        </w:rPr>
        <w:t>mit</w:t>
      </w:r>
      <w:r w:rsidR="00406DD0">
        <w:rPr>
          <w:rStyle w:val="Kommentarzeichen1"/>
          <w:rFonts w:cs="Arial"/>
          <w:sz w:val="22"/>
          <w:szCs w:val="22"/>
        </w:rPr>
        <w:t xml:space="preserve"> </w:t>
      </w:r>
      <w:r w:rsidRPr="00540057">
        <w:rPr>
          <w:rStyle w:val="Kommentarzeichen1"/>
          <w:rFonts w:cs="Arial"/>
          <w:sz w:val="22"/>
          <w:szCs w:val="22"/>
        </w:rPr>
        <w:t>Intel</w:t>
      </w:r>
      <w:r w:rsidRPr="00C27445">
        <w:rPr>
          <w:rStyle w:val="Kommentarzeichen1"/>
          <w:rFonts w:cs="Arial"/>
          <w:sz w:val="22"/>
          <w:szCs w:val="22"/>
          <w:vertAlign w:val="superscript"/>
        </w:rPr>
        <w:t>®</w:t>
      </w:r>
      <w:r w:rsidRPr="00540057">
        <w:rPr>
          <w:rStyle w:val="Kommentarzeichen1"/>
          <w:rFonts w:cs="Arial"/>
          <w:sz w:val="22"/>
          <w:szCs w:val="22"/>
        </w:rPr>
        <w:t xml:space="preserve"> Core</w:t>
      </w:r>
      <w:r w:rsidRPr="00406DD0">
        <w:rPr>
          <w:rStyle w:val="Kommentarzeichen1"/>
          <w:rFonts w:cs="Arial"/>
          <w:sz w:val="22"/>
          <w:szCs w:val="22"/>
          <w:vertAlign w:val="superscript"/>
        </w:rPr>
        <w:t>™</w:t>
      </w:r>
      <w:r w:rsidRPr="00540057">
        <w:rPr>
          <w:rStyle w:val="Kommentarzeichen1"/>
          <w:rFonts w:cs="Arial"/>
          <w:sz w:val="22"/>
          <w:szCs w:val="22"/>
        </w:rPr>
        <w:t>-Prozessortechnologie der 11</w:t>
      </w:r>
      <w:r w:rsidR="00406DD0">
        <w:rPr>
          <w:rStyle w:val="Kommentarzeichen1"/>
          <w:rFonts w:cs="Arial"/>
          <w:sz w:val="22"/>
          <w:szCs w:val="22"/>
        </w:rPr>
        <w:t>. Generation</w:t>
      </w:r>
      <w:r>
        <w:rPr>
          <w:rStyle w:val="Kommentarzeichen1"/>
          <w:rFonts w:cs="Arial"/>
          <w:sz w:val="22"/>
          <w:szCs w:val="22"/>
        </w:rPr>
        <w:t xml:space="preserve"> (Codename Tiger Lake)</w:t>
      </w:r>
      <w:r w:rsidR="00406DD0">
        <w:rPr>
          <w:rStyle w:val="Kommentarzeichen1"/>
          <w:rFonts w:cs="Arial"/>
          <w:sz w:val="22"/>
          <w:szCs w:val="22"/>
        </w:rPr>
        <w:t xml:space="preserve"> </w:t>
      </w:r>
      <w:r w:rsidR="00C0557B">
        <w:rPr>
          <w:rStyle w:val="Kommentarzeichen1"/>
          <w:rFonts w:cs="Arial"/>
          <w:sz w:val="22"/>
          <w:szCs w:val="22"/>
        </w:rPr>
        <w:t>bestückt ist</w:t>
      </w:r>
      <w:r w:rsidRPr="00540057">
        <w:rPr>
          <w:rStyle w:val="Kommentarzeichen1"/>
          <w:rFonts w:cs="Arial"/>
          <w:sz w:val="22"/>
          <w:szCs w:val="22"/>
        </w:rPr>
        <w:t>. Diese neue High-End</w:t>
      </w:r>
      <w:r w:rsidR="00C27445">
        <w:rPr>
          <w:rStyle w:val="Kommentarzeichen1"/>
          <w:rFonts w:cs="Arial"/>
          <w:sz w:val="22"/>
          <w:szCs w:val="22"/>
        </w:rPr>
        <w:t xml:space="preserve"> </w:t>
      </w:r>
      <w:r w:rsidRPr="00540057">
        <w:rPr>
          <w:rStyle w:val="Kommentarzeichen1"/>
          <w:rFonts w:cs="Arial"/>
          <w:sz w:val="22"/>
          <w:szCs w:val="22"/>
        </w:rPr>
        <w:t xml:space="preserve">Embedded-Modul-Generation richtet sich an Systemingenieure, die breitbandig </w:t>
      </w:r>
      <w:proofErr w:type="gramStart"/>
      <w:r w:rsidRPr="00540057">
        <w:rPr>
          <w:rStyle w:val="Kommentarzeichen1"/>
          <w:rFonts w:cs="Arial"/>
          <w:sz w:val="22"/>
          <w:szCs w:val="22"/>
        </w:rPr>
        <w:t>vernetzte</w:t>
      </w:r>
      <w:proofErr w:type="gramEnd"/>
      <w:r w:rsidRPr="00540057">
        <w:rPr>
          <w:rStyle w:val="Kommentarzeichen1"/>
          <w:rFonts w:cs="Arial"/>
          <w:sz w:val="22"/>
          <w:szCs w:val="22"/>
        </w:rPr>
        <w:t xml:space="preserve"> Edge-Geräte </w:t>
      </w:r>
      <w:r w:rsidR="00406DD0">
        <w:rPr>
          <w:rStyle w:val="Kommentarzeichen1"/>
          <w:rFonts w:cs="Arial"/>
          <w:sz w:val="22"/>
          <w:szCs w:val="22"/>
        </w:rPr>
        <w:t>entwickeln</w:t>
      </w:r>
      <w:r w:rsidRPr="00540057">
        <w:rPr>
          <w:rStyle w:val="Kommentarzeichen1"/>
          <w:rFonts w:cs="Arial"/>
          <w:sz w:val="22"/>
          <w:szCs w:val="22"/>
        </w:rPr>
        <w:t xml:space="preserve">, </w:t>
      </w:r>
      <w:r w:rsidR="006F11FC">
        <w:rPr>
          <w:rStyle w:val="Kommentarzeichen1"/>
          <w:rFonts w:cs="Arial"/>
          <w:sz w:val="22"/>
          <w:szCs w:val="22"/>
        </w:rPr>
        <w:t>welche</w:t>
      </w:r>
      <w:r w:rsidR="006F11FC" w:rsidRPr="00540057">
        <w:rPr>
          <w:rStyle w:val="Kommentarzeichen1"/>
          <w:rFonts w:cs="Arial"/>
          <w:sz w:val="22"/>
          <w:szCs w:val="22"/>
        </w:rPr>
        <w:t xml:space="preserve"> </w:t>
      </w:r>
      <w:r w:rsidRPr="00540057">
        <w:rPr>
          <w:rStyle w:val="Kommentarzeichen1"/>
          <w:rFonts w:cs="Arial"/>
          <w:sz w:val="22"/>
          <w:szCs w:val="22"/>
        </w:rPr>
        <w:t xml:space="preserve">im </w:t>
      </w:r>
      <w:r w:rsidR="00C0557B">
        <w:rPr>
          <w:rStyle w:val="Kommentarzeichen1"/>
          <w:rFonts w:cs="Arial"/>
          <w:sz w:val="22"/>
          <w:szCs w:val="22"/>
        </w:rPr>
        <w:t xml:space="preserve">Zuge der Entwicklung des </w:t>
      </w:r>
      <w:r w:rsidRPr="00540057">
        <w:rPr>
          <w:rStyle w:val="Kommentarzeichen1"/>
          <w:rFonts w:cs="Arial"/>
          <w:sz w:val="22"/>
          <w:szCs w:val="22"/>
        </w:rPr>
        <w:t xml:space="preserve">industriellen IoT entstehen. Zu den Zielmärkten gehören </w:t>
      </w:r>
      <w:r w:rsidR="00406DD0">
        <w:rPr>
          <w:rStyle w:val="Kommentarzeichen1"/>
          <w:rFonts w:cs="Arial"/>
          <w:sz w:val="22"/>
          <w:szCs w:val="22"/>
        </w:rPr>
        <w:t xml:space="preserve">unter anderem </w:t>
      </w:r>
      <w:r w:rsidRPr="00540057">
        <w:rPr>
          <w:rStyle w:val="Kommentarzeichen1"/>
          <w:rFonts w:cs="Arial"/>
          <w:sz w:val="22"/>
          <w:szCs w:val="22"/>
        </w:rPr>
        <w:t>Medizintechnik, Automatisierung, Transport und autonome Mobilität sowie bildverarbeitungsbasierte Inspektions- und Videoüberwachungssy</w:t>
      </w:r>
      <w:r w:rsidR="00406DD0">
        <w:rPr>
          <w:rStyle w:val="Kommentarzeichen1"/>
          <w:rFonts w:cs="Arial"/>
          <w:sz w:val="22"/>
          <w:szCs w:val="22"/>
        </w:rPr>
        <w:t>steme.</w:t>
      </w:r>
    </w:p>
    <w:p w:rsidR="00540057" w:rsidRPr="00540057" w:rsidRDefault="00540057" w:rsidP="00C27445">
      <w:pPr>
        <w:rPr>
          <w:rStyle w:val="Kommentarzeichen1"/>
          <w:rFonts w:cs="Arial"/>
          <w:sz w:val="22"/>
          <w:szCs w:val="22"/>
        </w:rPr>
      </w:pPr>
    </w:p>
    <w:p w:rsidR="00540057" w:rsidRPr="00540057" w:rsidRDefault="00406DD0" w:rsidP="00C27445">
      <w:pPr>
        <w:rPr>
          <w:rStyle w:val="Kommentarzeichen1"/>
          <w:rFonts w:cs="Arial"/>
          <w:sz w:val="22"/>
          <w:szCs w:val="22"/>
        </w:rPr>
      </w:pPr>
      <w:r>
        <w:rPr>
          <w:rStyle w:val="Kommentarzeichen1"/>
          <w:rFonts w:cs="Arial"/>
          <w:sz w:val="22"/>
          <w:szCs w:val="22"/>
        </w:rPr>
        <w:t>„</w:t>
      </w:r>
      <w:r w:rsidR="00540057" w:rsidRPr="00540057">
        <w:rPr>
          <w:rStyle w:val="Kommentarzeichen1"/>
          <w:rFonts w:cs="Arial"/>
          <w:sz w:val="22"/>
          <w:szCs w:val="22"/>
        </w:rPr>
        <w:t xml:space="preserve">Unser neues COM-HPC-Starterset </w:t>
      </w:r>
      <w:r>
        <w:rPr>
          <w:rStyle w:val="Kommentarzeichen1"/>
          <w:rFonts w:cs="Arial"/>
          <w:sz w:val="22"/>
          <w:szCs w:val="22"/>
        </w:rPr>
        <w:t>–</w:t>
      </w:r>
      <w:r w:rsidR="00540057" w:rsidRPr="00540057">
        <w:rPr>
          <w:rStyle w:val="Kommentarzeichen1"/>
          <w:rFonts w:cs="Arial"/>
          <w:sz w:val="22"/>
          <w:szCs w:val="22"/>
        </w:rPr>
        <w:t xml:space="preserve"> das </w:t>
      </w:r>
      <w:r w:rsidR="002B7A83" w:rsidRPr="00540057">
        <w:rPr>
          <w:rStyle w:val="Kommentarzeichen1"/>
          <w:rFonts w:cs="Arial"/>
          <w:sz w:val="22"/>
          <w:szCs w:val="22"/>
        </w:rPr>
        <w:t xml:space="preserve">individuell </w:t>
      </w:r>
      <w:r w:rsidR="002B7A83">
        <w:rPr>
          <w:rStyle w:val="Kommentarzeichen1"/>
          <w:rFonts w:cs="Arial"/>
          <w:sz w:val="22"/>
          <w:szCs w:val="22"/>
        </w:rPr>
        <w:t>aus</w:t>
      </w:r>
      <w:r w:rsidR="00540057" w:rsidRPr="00540057">
        <w:rPr>
          <w:rStyle w:val="Kommentarzeichen1"/>
          <w:rFonts w:cs="Arial"/>
          <w:sz w:val="22"/>
          <w:szCs w:val="22"/>
        </w:rPr>
        <w:t xml:space="preserve"> </w:t>
      </w:r>
      <w:r w:rsidR="002B7A83">
        <w:rPr>
          <w:rStyle w:val="Kommentarzeichen1"/>
          <w:rFonts w:cs="Arial"/>
          <w:sz w:val="22"/>
          <w:szCs w:val="22"/>
        </w:rPr>
        <w:t xml:space="preserve">den </w:t>
      </w:r>
      <w:r w:rsidR="00540057" w:rsidRPr="00540057">
        <w:rPr>
          <w:rStyle w:val="Kommentarzeichen1"/>
          <w:rFonts w:cs="Arial"/>
          <w:sz w:val="22"/>
          <w:szCs w:val="22"/>
        </w:rPr>
        <w:t xml:space="preserve">Komponenten </w:t>
      </w:r>
      <w:r w:rsidR="002B7A83">
        <w:rPr>
          <w:rStyle w:val="Kommentarzeichen1"/>
          <w:rFonts w:cs="Arial"/>
          <w:sz w:val="22"/>
          <w:szCs w:val="22"/>
        </w:rPr>
        <w:t>unseres</w:t>
      </w:r>
      <w:r w:rsidR="00C0557B">
        <w:rPr>
          <w:rStyle w:val="Kommentarzeichen1"/>
          <w:rFonts w:cs="Arial"/>
          <w:sz w:val="22"/>
          <w:szCs w:val="22"/>
        </w:rPr>
        <w:t xml:space="preserve"> COM-HPC-</w:t>
      </w:r>
      <w:r w:rsidR="006F11FC">
        <w:rPr>
          <w:rStyle w:val="Kommentarzeichen1"/>
          <w:rFonts w:cs="Arial"/>
          <w:sz w:val="22"/>
          <w:szCs w:val="22"/>
        </w:rPr>
        <w:t>Ök</w:t>
      </w:r>
      <w:r w:rsidR="006F11FC" w:rsidRPr="00540057">
        <w:rPr>
          <w:rStyle w:val="Kommentarzeichen1"/>
          <w:rFonts w:cs="Arial"/>
          <w:sz w:val="22"/>
          <w:szCs w:val="22"/>
        </w:rPr>
        <w:t>osystem</w:t>
      </w:r>
      <w:r w:rsidR="006F11FC">
        <w:rPr>
          <w:rStyle w:val="Kommentarzeichen1"/>
          <w:rFonts w:cs="Arial"/>
          <w:sz w:val="22"/>
          <w:szCs w:val="22"/>
        </w:rPr>
        <w:t>s</w:t>
      </w:r>
      <w:r w:rsidR="006F11FC" w:rsidRPr="00540057">
        <w:rPr>
          <w:rStyle w:val="Kommentarzeichen1"/>
          <w:rFonts w:cs="Arial"/>
          <w:sz w:val="22"/>
          <w:szCs w:val="22"/>
        </w:rPr>
        <w:t xml:space="preserve"> </w:t>
      </w:r>
      <w:r w:rsidR="002B7A83">
        <w:rPr>
          <w:rStyle w:val="Kommentarzeichen1"/>
          <w:rFonts w:cs="Arial"/>
          <w:sz w:val="22"/>
          <w:szCs w:val="22"/>
        </w:rPr>
        <w:t>zusammengestellt</w:t>
      </w:r>
      <w:r w:rsidR="002B7A83" w:rsidRPr="00540057">
        <w:rPr>
          <w:rStyle w:val="Kommentarzeichen1"/>
          <w:rFonts w:cs="Arial"/>
          <w:sz w:val="22"/>
          <w:szCs w:val="22"/>
        </w:rPr>
        <w:t xml:space="preserve"> </w:t>
      </w:r>
      <w:r w:rsidR="001B19E2">
        <w:rPr>
          <w:rStyle w:val="Kommentarzeichen1"/>
          <w:rFonts w:cs="Arial"/>
          <w:sz w:val="22"/>
          <w:szCs w:val="22"/>
        </w:rPr>
        <w:t>werden kann</w:t>
      </w:r>
      <w:r w:rsidR="00540057" w:rsidRPr="00540057">
        <w:rPr>
          <w:rStyle w:val="Kommentarzeichen1"/>
          <w:rFonts w:cs="Arial"/>
          <w:sz w:val="22"/>
          <w:szCs w:val="22"/>
        </w:rPr>
        <w:t xml:space="preserve"> </w:t>
      </w:r>
      <w:r>
        <w:rPr>
          <w:rStyle w:val="Kommentarzeichen1"/>
          <w:rFonts w:cs="Arial"/>
          <w:sz w:val="22"/>
          <w:szCs w:val="22"/>
        </w:rPr>
        <w:t>–</w:t>
      </w:r>
      <w:r w:rsidR="00540057" w:rsidRPr="00540057">
        <w:rPr>
          <w:rStyle w:val="Kommentarzeichen1"/>
          <w:rFonts w:cs="Arial"/>
          <w:sz w:val="22"/>
          <w:szCs w:val="22"/>
        </w:rPr>
        <w:t xml:space="preserve"> bringt </w:t>
      </w:r>
      <w:r w:rsidR="002B7A83">
        <w:rPr>
          <w:rStyle w:val="Kommentarzeichen1"/>
          <w:rFonts w:cs="Arial"/>
          <w:sz w:val="22"/>
          <w:szCs w:val="22"/>
        </w:rPr>
        <w:t>Entwickler</w:t>
      </w:r>
      <w:r w:rsidR="00540057" w:rsidRPr="00540057">
        <w:rPr>
          <w:rStyle w:val="Kommentarzeichen1"/>
          <w:rFonts w:cs="Arial"/>
          <w:sz w:val="22"/>
          <w:szCs w:val="22"/>
        </w:rPr>
        <w:t xml:space="preserve"> auf die Überholspur </w:t>
      </w:r>
      <w:r w:rsidR="00685B9D">
        <w:rPr>
          <w:rStyle w:val="Kommentarzeichen1"/>
          <w:rFonts w:cs="Arial"/>
          <w:sz w:val="22"/>
          <w:szCs w:val="22"/>
        </w:rPr>
        <w:t xml:space="preserve">hin </w:t>
      </w:r>
      <w:r w:rsidR="00540057" w:rsidRPr="00540057">
        <w:rPr>
          <w:rStyle w:val="Kommentarzeichen1"/>
          <w:rFonts w:cs="Arial"/>
          <w:sz w:val="22"/>
          <w:szCs w:val="22"/>
        </w:rPr>
        <w:t>zu Gen4-Schnittstellentechnologie</w:t>
      </w:r>
      <w:r w:rsidR="00685B9D">
        <w:rPr>
          <w:rStyle w:val="Kommentarzeichen1"/>
          <w:rFonts w:cs="Arial"/>
          <w:sz w:val="22"/>
          <w:szCs w:val="22"/>
        </w:rPr>
        <w:t>n</w:t>
      </w:r>
      <w:r w:rsidR="00540057" w:rsidRPr="00540057">
        <w:rPr>
          <w:rStyle w:val="Kommentarzeichen1"/>
          <w:rFonts w:cs="Arial"/>
          <w:sz w:val="22"/>
          <w:szCs w:val="22"/>
        </w:rPr>
        <w:t xml:space="preserve"> und weiterer ultraschneller Konnektivität</w:t>
      </w:r>
      <w:r>
        <w:rPr>
          <w:rStyle w:val="Kommentarzeichen1"/>
          <w:rFonts w:cs="Arial"/>
          <w:sz w:val="22"/>
          <w:szCs w:val="22"/>
        </w:rPr>
        <w:t>“</w:t>
      </w:r>
      <w:r w:rsidR="00540057" w:rsidRPr="00540057">
        <w:rPr>
          <w:rStyle w:val="Kommentarzeichen1"/>
          <w:rFonts w:cs="Arial"/>
          <w:sz w:val="22"/>
          <w:szCs w:val="22"/>
        </w:rPr>
        <w:t>, sagt Martin Danzer, Director Pr</w:t>
      </w:r>
      <w:r>
        <w:rPr>
          <w:rStyle w:val="Kommentarzeichen1"/>
          <w:rFonts w:cs="Arial"/>
          <w:sz w:val="22"/>
          <w:szCs w:val="22"/>
        </w:rPr>
        <w:t>oduct Management bei congatec. „</w:t>
      </w:r>
      <w:r w:rsidR="00540057" w:rsidRPr="00540057">
        <w:rPr>
          <w:rStyle w:val="Kommentarzeichen1"/>
          <w:rFonts w:cs="Arial"/>
          <w:sz w:val="22"/>
          <w:szCs w:val="22"/>
        </w:rPr>
        <w:t xml:space="preserve">PCIe Gen4 verdoppelt den Durchsatz pro Lane im Vergleich zu Gen3, was massive </w:t>
      </w:r>
      <w:r w:rsidR="00540057" w:rsidRPr="00540057">
        <w:rPr>
          <w:rStyle w:val="Kommentarzeichen1"/>
          <w:rFonts w:cs="Arial"/>
          <w:sz w:val="22"/>
          <w:szCs w:val="22"/>
        </w:rPr>
        <w:lastRenderedPageBreak/>
        <w:t>Auswirkungen auf Systemdesigns hat</w:t>
      </w:r>
      <w:r w:rsidR="006F11FC">
        <w:rPr>
          <w:rStyle w:val="Kommentarzeichen1"/>
          <w:rFonts w:cs="Arial"/>
          <w:sz w:val="22"/>
          <w:szCs w:val="22"/>
        </w:rPr>
        <w:t>.</w:t>
      </w:r>
      <w:r w:rsidR="00540057" w:rsidRPr="00540057">
        <w:rPr>
          <w:rStyle w:val="Kommentarzeichen1"/>
          <w:rFonts w:cs="Arial"/>
          <w:sz w:val="22"/>
          <w:szCs w:val="22"/>
        </w:rPr>
        <w:t xml:space="preserve"> </w:t>
      </w:r>
      <w:r w:rsidR="00685B9D">
        <w:rPr>
          <w:rStyle w:val="Kommentarzeichen1"/>
          <w:rFonts w:cs="Arial"/>
          <w:sz w:val="22"/>
          <w:szCs w:val="22"/>
        </w:rPr>
        <w:t>Entwickler haben jetzt nämlich auch die Möglichkeit</w:t>
      </w:r>
      <w:r w:rsidR="00540057" w:rsidRPr="00540057">
        <w:rPr>
          <w:rStyle w:val="Kommentarzeichen1"/>
          <w:rFonts w:cs="Arial"/>
          <w:sz w:val="22"/>
          <w:szCs w:val="22"/>
        </w:rPr>
        <w:t>, die Anzahl der angeschlossenen Erweiterungsgeräte zu verdoppeln. Dies alles unter komplexeren Design</w:t>
      </w:r>
      <w:r w:rsidR="00685B9D">
        <w:rPr>
          <w:rStyle w:val="Kommentarzeichen1"/>
          <w:rFonts w:cs="Arial"/>
          <w:sz w:val="22"/>
          <w:szCs w:val="22"/>
        </w:rPr>
        <w:t>richtlinien</w:t>
      </w:r>
      <w:r w:rsidR="00540057" w:rsidRPr="00540057">
        <w:rPr>
          <w:rStyle w:val="Kommentarzeichen1"/>
          <w:rFonts w:cs="Arial"/>
          <w:sz w:val="22"/>
          <w:szCs w:val="22"/>
        </w:rPr>
        <w:t xml:space="preserve"> zu handhaben, um </w:t>
      </w:r>
      <w:r w:rsidR="00685B9D">
        <w:rPr>
          <w:rStyle w:val="Kommentarzeichen1"/>
          <w:rFonts w:cs="Arial"/>
          <w:sz w:val="22"/>
          <w:szCs w:val="22"/>
        </w:rPr>
        <w:t xml:space="preserve">die erforderliche </w:t>
      </w:r>
      <w:r w:rsidR="00540057" w:rsidRPr="00540057">
        <w:rPr>
          <w:rStyle w:val="Kommentarzeichen1"/>
          <w:rFonts w:cs="Arial"/>
          <w:sz w:val="22"/>
          <w:szCs w:val="22"/>
        </w:rPr>
        <w:t>Signal</w:t>
      </w:r>
      <w:r w:rsidR="00685B9D">
        <w:rPr>
          <w:rStyle w:val="Kommentarzeichen1"/>
          <w:rFonts w:cs="Arial"/>
          <w:sz w:val="22"/>
          <w:szCs w:val="22"/>
        </w:rPr>
        <w:t xml:space="preserve"> Compliance</w:t>
      </w:r>
      <w:r w:rsidR="00540057" w:rsidRPr="00540057">
        <w:rPr>
          <w:rStyle w:val="Kommentarzeichen1"/>
          <w:rFonts w:cs="Arial"/>
          <w:sz w:val="22"/>
          <w:szCs w:val="22"/>
        </w:rPr>
        <w:t xml:space="preserve"> zu </w:t>
      </w:r>
      <w:r w:rsidR="00685B9D">
        <w:rPr>
          <w:rStyle w:val="Kommentarzeichen1"/>
          <w:rFonts w:cs="Arial"/>
          <w:sz w:val="22"/>
          <w:szCs w:val="22"/>
        </w:rPr>
        <w:t>erlangen</w:t>
      </w:r>
      <w:r w:rsidR="00540057" w:rsidRPr="00540057">
        <w:rPr>
          <w:rStyle w:val="Kommentarzeichen1"/>
          <w:rFonts w:cs="Arial"/>
          <w:sz w:val="22"/>
          <w:szCs w:val="22"/>
        </w:rPr>
        <w:t xml:space="preserve">, macht es noch </w:t>
      </w:r>
      <w:r w:rsidR="00C0557B">
        <w:rPr>
          <w:rStyle w:val="Kommentarzeichen1"/>
          <w:rFonts w:cs="Arial"/>
          <w:sz w:val="22"/>
          <w:szCs w:val="22"/>
        </w:rPr>
        <w:t>bedeutender</w:t>
      </w:r>
      <w:r w:rsidR="00540057" w:rsidRPr="00540057">
        <w:rPr>
          <w:rStyle w:val="Kommentarzeichen1"/>
          <w:rFonts w:cs="Arial"/>
          <w:sz w:val="22"/>
          <w:szCs w:val="22"/>
        </w:rPr>
        <w:t xml:space="preserve">, eine </w:t>
      </w:r>
      <w:r w:rsidR="00685B9D">
        <w:rPr>
          <w:rStyle w:val="Kommentarzeichen1"/>
          <w:rFonts w:cs="Arial"/>
          <w:sz w:val="22"/>
          <w:szCs w:val="22"/>
        </w:rPr>
        <w:t xml:space="preserve">ausgereifte </w:t>
      </w:r>
      <w:r w:rsidR="00540057" w:rsidRPr="00540057">
        <w:rPr>
          <w:rStyle w:val="Kommentarzeichen1"/>
          <w:rFonts w:cs="Arial"/>
          <w:sz w:val="22"/>
          <w:szCs w:val="22"/>
        </w:rPr>
        <w:t xml:space="preserve">Evaluierungs- und Benchmark-Plattform für </w:t>
      </w:r>
      <w:r w:rsidR="00685B9D">
        <w:rPr>
          <w:rStyle w:val="Kommentarzeichen1"/>
          <w:rFonts w:cs="Arial"/>
          <w:sz w:val="22"/>
          <w:szCs w:val="22"/>
        </w:rPr>
        <w:t xml:space="preserve">die </w:t>
      </w:r>
      <w:r w:rsidR="00540057" w:rsidRPr="00540057">
        <w:rPr>
          <w:rStyle w:val="Kommentarzeichen1"/>
          <w:rFonts w:cs="Arial"/>
          <w:sz w:val="22"/>
          <w:szCs w:val="22"/>
        </w:rPr>
        <w:t>eigene</w:t>
      </w:r>
      <w:r w:rsidR="00685B9D">
        <w:rPr>
          <w:rStyle w:val="Kommentarzeichen1"/>
          <w:rFonts w:cs="Arial"/>
          <w:sz w:val="22"/>
          <w:szCs w:val="22"/>
        </w:rPr>
        <w:t>n</w:t>
      </w:r>
      <w:r w:rsidR="00540057" w:rsidRPr="00540057">
        <w:rPr>
          <w:rStyle w:val="Kommentarzeichen1"/>
          <w:rFonts w:cs="Arial"/>
          <w:sz w:val="22"/>
          <w:szCs w:val="22"/>
        </w:rPr>
        <w:t xml:space="preserve"> Systemdesigns </w:t>
      </w:r>
      <w:r w:rsidR="00C0557B">
        <w:rPr>
          <w:rStyle w:val="Kommentarzeichen1"/>
          <w:rFonts w:cs="Arial"/>
          <w:sz w:val="22"/>
          <w:szCs w:val="22"/>
        </w:rPr>
        <w:t>nutzen zu können</w:t>
      </w:r>
      <w:r w:rsidR="00540057" w:rsidRPr="00540057">
        <w:rPr>
          <w:rStyle w:val="Kommentarzeichen1"/>
          <w:rFonts w:cs="Arial"/>
          <w:sz w:val="22"/>
          <w:szCs w:val="22"/>
        </w:rPr>
        <w:t>.</w:t>
      </w:r>
      <w:r>
        <w:rPr>
          <w:rStyle w:val="Kommentarzeichen1"/>
          <w:rFonts w:cs="Arial"/>
          <w:sz w:val="22"/>
          <w:szCs w:val="22"/>
        </w:rPr>
        <w:t>“</w:t>
      </w:r>
    </w:p>
    <w:p w:rsidR="00540057" w:rsidRPr="00540057" w:rsidRDefault="00540057" w:rsidP="00C27445">
      <w:pPr>
        <w:rPr>
          <w:rStyle w:val="Kommentarzeichen1"/>
          <w:rFonts w:cs="Arial"/>
          <w:sz w:val="22"/>
          <w:szCs w:val="22"/>
        </w:rPr>
      </w:pPr>
    </w:p>
    <w:p w:rsidR="00540057" w:rsidRPr="00540057" w:rsidRDefault="00540057" w:rsidP="00D2738E">
      <w:pPr>
        <w:rPr>
          <w:rStyle w:val="Kommentarzeichen1"/>
          <w:rFonts w:cs="Arial"/>
          <w:sz w:val="22"/>
          <w:szCs w:val="22"/>
        </w:rPr>
      </w:pPr>
      <w:r w:rsidRPr="00540057">
        <w:rPr>
          <w:rStyle w:val="Kommentarzeichen1"/>
          <w:rFonts w:cs="Arial"/>
          <w:sz w:val="22"/>
          <w:szCs w:val="22"/>
        </w:rPr>
        <w:t xml:space="preserve">Die </w:t>
      </w:r>
      <w:r w:rsidR="00685B9D">
        <w:rPr>
          <w:rStyle w:val="Kommentarzeichen1"/>
          <w:rFonts w:cs="Arial"/>
          <w:sz w:val="22"/>
          <w:szCs w:val="22"/>
        </w:rPr>
        <w:t>unterschiedlichen</w:t>
      </w:r>
      <w:r w:rsidRPr="00540057">
        <w:rPr>
          <w:rStyle w:val="Kommentarzeichen1"/>
          <w:rFonts w:cs="Arial"/>
          <w:sz w:val="22"/>
          <w:szCs w:val="22"/>
        </w:rPr>
        <w:t xml:space="preserve"> Ethernet-Konfigurationsoptionen des Starter-Sets reichen von 8x 1Gb</w:t>
      </w:r>
      <w:r w:rsidR="00685B9D">
        <w:rPr>
          <w:rStyle w:val="Kommentarzeichen1"/>
          <w:rFonts w:cs="Arial"/>
          <w:sz w:val="22"/>
          <w:szCs w:val="22"/>
        </w:rPr>
        <w:t>E-Switching-Optionen und 2x 2,5</w:t>
      </w:r>
      <w:r w:rsidRPr="00540057">
        <w:rPr>
          <w:rStyle w:val="Kommentarzeichen1"/>
          <w:rFonts w:cs="Arial"/>
          <w:sz w:val="22"/>
          <w:szCs w:val="22"/>
        </w:rPr>
        <w:t>GbE inklusive TSN-Unterstützung bis hin zu dualer 10GbE-Konnektivität</w:t>
      </w:r>
      <w:r w:rsidR="00685B9D">
        <w:rPr>
          <w:rStyle w:val="Kommentarzeichen1"/>
          <w:rFonts w:cs="Arial"/>
          <w:sz w:val="22"/>
          <w:szCs w:val="22"/>
        </w:rPr>
        <w:t>.</w:t>
      </w:r>
      <w:r w:rsidRPr="00540057">
        <w:rPr>
          <w:rStyle w:val="Kommentarzeichen1"/>
          <w:rFonts w:cs="Arial"/>
          <w:sz w:val="22"/>
          <w:szCs w:val="22"/>
        </w:rPr>
        <w:t xml:space="preserve"> congatec's umfassende</w:t>
      </w:r>
      <w:r w:rsidR="00E20D63">
        <w:rPr>
          <w:rStyle w:val="Kommentarzeichen1"/>
          <w:rFonts w:cs="Arial"/>
          <w:sz w:val="22"/>
          <w:szCs w:val="22"/>
        </w:rPr>
        <w:t>r</w:t>
      </w:r>
      <w:r w:rsidRPr="00540057">
        <w:rPr>
          <w:rStyle w:val="Kommentarzeichen1"/>
          <w:rFonts w:cs="Arial"/>
          <w:sz w:val="22"/>
          <w:szCs w:val="22"/>
        </w:rPr>
        <w:t xml:space="preserve"> KI-</w:t>
      </w:r>
      <w:r w:rsidR="00685B9D">
        <w:rPr>
          <w:rStyle w:val="Kommentarzeichen1"/>
          <w:rFonts w:cs="Arial"/>
          <w:sz w:val="22"/>
          <w:szCs w:val="22"/>
        </w:rPr>
        <w:t>Support</w:t>
      </w:r>
      <w:r w:rsidRPr="00540057">
        <w:rPr>
          <w:rStyle w:val="Kommentarzeichen1"/>
          <w:rFonts w:cs="Arial"/>
          <w:sz w:val="22"/>
          <w:szCs w:val="22"/>
        </w:rPr>
        <w:t xml:space="preserve"> für MIPI-CSI-</w:t>
      </w:r>
      <w:r w:rsidR="00685B9D">
        <w:rPr>
          <w:rStyle w:val="Kommentarzeichen1"/>
          <w:rFonts w:cs="Arial"/>
          <w:sz w:val="22"/>
          <w:szCs w:val="22"/>
        </w:rPr>
        <w:t>angebundene</w:t>
      </w:r>
      <w:r w:rsidRPr="00540057">
        <w:rPr>
          <w:rStyle w:val="Kommentarzeichen1"/>
          <w:rFonts w:cs="Arial"/>
          <w:sz w:val="22"/>
          <w:szCs w:val="22"/>
        </w:rPr>
        <w:t xml:space="preserve"> Kameras von Basler macht </w:t>
      </w:r>
      <w:r w:rsidR="00E20D63">
        <w:rPr>
          <w:rStyle w:val="Kommentarzeichen1"/>
          <w:rFonts w:cs="Arial"/>
          <w:sz w:val="22"/>
          <w:szCs w:val="22"/>
        </w:rPr>
        <w:t>I</w:t>
      </w:r>
      <w:r w:rsidRPr="00540057">
        <w:rPr>
          <w:rStyle w:val="Kommentarzeichen1"/>
          <w:rFonts w:cs="Arial"/>
          <w:sz w:val="22"/>
          <w:szCs w:val="22"/>
        </w:rPr>
        <w:t>IoT- und Industrie 4.0-</w:t>
      </w:r>
      <w:r w:rsidR="00685B9D">
        <w:rPr>
          <w:rStyle w:val="Kommentarzeichen1"/>
          <w:rFonts w:cs="Arial"/>
          <w:sz w:val="22"/>
          <w:szCs w:val="22"/>
        </w:rPr>
        <w:t>vernetzte</w:t>
      </w:r>
      <w:r w:rsidRPr="00540057">
        <w:rPr>
          <w:rStyle w:val="Kommentarzeichen1"/>
          <w:rFonts w:cs="Arial"/>
          <w:sz w:val="22"/>
          <w:szCs w:val="22"/>
        </w:rPr>
        <w:t xml:space="preserve"> Embedded-Systeme noch </w:t>
      </w:r>
      <w:r w:rsidR="00FD14C1">
        <w:rPr>
          <w:rStyle w:val="Kommentarzeichen1"/>
          <w:rFonts w:cs="Arial"/>
          <w:sz w:val="22"/>
          <w:szCs w:val="22"/>
        </w:rPr>
        <w:t>anwendungsfähiger</w:t>
      </w:r>
      <w:r w:rsidRPr="00540057">
        <w:rPr>
          <w:rStyle w:val="Kommentarzeichen1"/>
          <w:rFonts w:cs="Arial"/>
          <w:sz w:val="22"/>
          <w:szCs w:val="22"/>
        </w:rPr>
        <w:t xml:space="preserve">. </w:t>
      </w:r>
      <w:r w:rsidR="00E20D63">
        <w:rPr>
          <w:rStyle w:val="Kommentarzeichen1"/>
          <w:rFonts w:cs="Arial"/>
          <w:sz w:val="22"/>
          <w:szCs w:val="22"/>
        </w:rPr>
        <w:t xml:space="preserve">Eine </w:t>
      </w:r>
      <w:r w:rsidRPr="00540057">
        <w:rPr>
          <w:rStyle w:val="Kommentarzeichen1"/>
          <w:rFonts w:cs="Arial"/>
          <w:sz w:val="22"/>
          <w:szCs w:val="22"/>
        </w:rPr>
        <w:t>KI- und Inferen</w:t>
      </w:r>
      <w:r w:rsidR="00E20D63">
        <w:rPr>
          <w:rStyle w:val="Kommentarzeichen1"/>
          <w:rFonts w:cs="Arial"/>
          <w:sz w:val="22"/>
          <w:szCs w:val="22"/>
        </w:rPr>
        <w:t>z</w:t>
      </w:r>
      <w:r w:rsidRPr="00540057">
        <w:rPr>
          <w:rStyle w:val="Kommentarzeichen1"/>
          <w:rFonts w:cs="Arial"/>
          <w:sz w:val="22"/>
          <w:szCs w:val="22"/>
        </w:rPr>
        <w:t>-Beschleunigung kann</w:t>
      </w:r>
      <w:r w:rsidR="00E20D63">
        <w:rPr>
          <w:rStyle w:val="Kommentarzeichen1"/>
          <w:rFonts w:cs="Arial"/>
          <w:sz w:val="22"/>
          <w:szCs w:val="22"/>
        </w:rPr>
        <w:t xml:space="preserve"> auf der CPU mittels</w:t>
      </w:r>
      <w:r w:rsidRPr="00540057">
        <w:rPr>
          <w:rStyle w:val="Kommentarzeichen1"/>
          <w:rFonts w:cs="Arial"/>
          <w:sz w:val="22"/>
          <w:szCs w:val="22"/>
        </w:rPr>
        <w:t xml:space="preserve"> Intel</w:t>
      </w:r>
      <w:r w:rsidRPr="00E20D63">
        <w:rPr>
          <w:rStyle w:val="Kommentarzeichen1"/>
          <w:rFonts w:cs="Arial"/>
          <w:sz w:val="22"/>
          <w:szCs w:val="22"/>
          <w:vertAlign w:val="superscript"/>
        </w:rPr>
        <w:t>®</w:t>
      </w:r>
      <w:r w:rsidRPr="00540057">
        <w:rPr>
          <w:rStyle w:val="Kommentarzeichen1"/>
          <w:rFonts w:cs="Arial"/>
          <w:sz w:val="22"/>
          <w:szCs w:val="22"/>
        </w:rPr>
        <w:t xml:space="preserve"> DL Boost </w:t>
      </w:r>
      <w:r w:rsidR="00E20D63">
        <w:rPr>
          <w:rStyle w:val="Kommentarzeichen1"/>
          <w:rFonts w:cs="Arial"/>
          <w:sz w:val="22"/>
          <w:szCs w:val="22"/>
        </w:rPr>
        <w:t xml:space="preserve">basierter </w:t>
      </w:r>
      <w:r w:rsidR="00E20D63" w:rsidRPr="00540057">
        <w:rPr>
          <w:rStyle w:val="Kommentarzeichen1"/>
          <w:rFonts w:cs="Arial"/>
          <w:sz w:val="22"/>
          <w:szCs w:val="22"/>
        </w:rPr>
        <w:t xml:space="preserve">Vektor-Neural-Network-Instruktionen (VNNI) </w:t>
      </w:r>
      <w:r w:rsidR="00E20D63">
        <w:rPr>
          <w:rStyle w:val="Kommentarzeichen1"/>
          <w:rFonts w:cs="Arial"/>
          <w:sz w:val="22"/>
          <w:szCs w:val="22"/>
        </w:rPr>
        <w:t xml:space="preserve">und auf der GPU mittels </w:t>
      </w:r>
      <w:r w:rsidRPr="00540057">
        <w:rPr>
          <w:rStyle w:val="Kommentarzeichen1"/>
          <w:rFonts w:cs="Arial"/>
          <w:sz w:val="22"/>
          <w:szCs w:val="22"/>
        </w:rPr>
        <w:t xml:space="preserve">8-Bit-Integer-Instruktionen (Int8) erreicht werden. Attraktiv ist in diesem Zusammenhang </w:t>
      </w:r>
      <w:r w:rsidR="00E20D63">
        <w:rPr>
          <w:rStyle w:val="Kommentarzeichen1"/>
          <w:rFonts w:cs="Arial"/>
          <w:sz w:val="22"/>
          <w:szCs w:val="22"/>
        </w:rPr>
        <w:t xml:space="preserve">auch </w:t>
      </w:r>
      <w:r w:rsidRPr="00540057">
        <w:rPr>
          <w:rStyle w:val="Kommentarzeichen1"/>
          <w:rFonts w:cs="Arial"/>
          <w:sz w:val="22"/>
          <w:szCs w:val="22"/>
        </w:rPr>
        <w:t>die Unte</w:t>
      </w:r>
      <w:r w:rsidR="00C0557B">
        <w:rPr>
          <w:rStyle w:val="Kommentarzeichen1"/>
          <w:rFonts w:cs="Arial"/>
          <w:sz w:val="22"/>
          <w:szCs w:val="22"/>
        </w:rPr>
        <w:t>rstützung des Intel Open Vino-</w:t>
      </w:r>
      <w:proofErr w:type="spellStart"/>
      <w:r w:rsidR="00C0557B">
        <w:rPr>
          <w:rStyle w:val="Kommentarzeichen1"/>
          <w:rFonts w:cs="Arial"/>
          <w:sz w:val="22"/>
          <w:szCs w:val="22"/>
        </w:rPr>
        <w:t>Ec</w:t>
      </w:r>
      <w:r w:rsidRPr="00540057">
        <w:rPr>
          <w:rStyle w:val="Kommentarzeichen1"/>
          <w:rFonts w:cs="Arial"/>
          <w:sz w:val="22"/>
          <w:szCs w:val="22"/>
        </w:rPr>
        <w:t>osystems</w:t>
      </w:r>
      <w:proofErr w:type="spellEnd"/>
      <w:r w:rsidRPr="00540057">
        <w:rPr>
          <w:rStyle w:val="Kommentarzeichen1"/>
          <w:rFonts w:cs="Arial"/>
          <w:sz w:val="22"/>
          <w:szCs w:val="22"/>
        </w:rPr>
        <w:t xml:space="preserve"> für KI, das eine Funktion</w:t>
      </w:r>
      <w:r w:rsidR="00E20D63">
        <w:rPr>
          <w:rStyle w:val="Kommentarzeichen1"/>
          <w:rFonts w:cs="Arial"/>
          <w:sz w:val="22"/>
          <w:szCs w:val="22"/>
        </w:rPr>
        <w:t>sb</w:t>
      </w:r>
      <w:r w:rsidR="00E20D63" w:rsidRPr="00540057">
        <w:rPr>
          <w:rStyle w:val="Kommentarzeichen1"/>
          <w:rFonts w:cs="Arial"/>
          <w:sz w:val="22"/>
          <w:szCs w:val="22"/>
        </w:rPr>
        <w:t>ibliothek</w:t>
      </w:r>
      <w:r w:rsidRPr="00540057">
        <w:rPr>
          <w:rStyle w:val="Kommentarzeichen1"/>
          <w:rFonts w:cs="Arial"/>
          <w:sz w:val="22"/>
          <w:szCs w:val="22"/>
        </w:rPr>
        <w:t xml:space="preserve"> und optimierte Aufrufe für </w:t>
      </w:r>
      <w:proofErr w:type="spellStart"/>
      <w:r w:rsidRPr="00540057">
        <w:rPr>
          <w:rStyle w:val="Kommentarzeichen1"/>
          <w:rFonts w:cs="Arial"/>
          <w:sz w:val="22"/>
          <w:szCs w:val="22"/>
        </w:rPr>
        <w:t>OpenCV</w:t>
      </w:r>
      <w:proofErr w:type="spellEnd"/>
      <w:r w:rsidRPr="00540057">
        <w:rPr>
          <w:rStyle w:val="Kommentarzeichen1"/>
          <w:rFonts w:cs="Arial"/>
          <w:sz w:val="22"/>
          <w:szCs w:val="22"/>
        </w:rPr>
        <w:t>- und OpenCL-</w:t>
      </w:r>
      <w:proofErr w:type="spellStart"/>
      <w:r w:rsidRPr="00540057">
        <w:rPr>
          <w:rStyle w:val="Kommentarzeichen1"/>
          <w:rFonts w:cs="Arial"/>
          <w:sz w:val="22"/>
          <w:szCs w:val="22"/>
        </w:rPr>
        <w:t>Kernel</w:t>
      </w:r>
      <w:proofErr w:type="spellEnd"/>
      <w:r w:rsidRPr="00540057">
        <w:rPr>
          <w:rStyle w:val="Kommentarzeichen1"/>
          <w:rFonts w:cs="Arial"/>
          <w:sz w:val="22"/>
          <w:szCs w:val="22"/>
        </w:rPr>
        <w:t xml:space="preserve"> enthält, um Deep Neural Network-Workloads plattformübergreifend zu beschleunigen und so schnellere und genauere Ergebnisse für KI-Inferenz</w:t>
      </w:r>
      <w:r w:rsidR="00E20D63">
        <w:rPr>
          <w:rStyle w:val="Kommentarzeichen1"/>
          <w:rFonts w:cs="Arial"/>
          <w:sz w:val="22"/>
          <w:szCs w:val="22"/>
        </w:rPr>
        <w:t>en</w:t>
      </w:r>
      <w:r w:rsidRPr="00540057">
        <w:rPr>
          <w:rStyle w:val="Kommentarzeichen1"/>
          <w:rFonts w:cs="Arial"/>
          <w:sz w:val="22"/>
          <w:szCs w:val="22"/>
        </w:rPr>
        <w:t xml:space="preserve"> zu </w:t>
      </w:r>
      <w:r w:rsidR="00C0557B">
        <w:rPr>
          <w:rStyle w:val="Kommentarzeichen1"/>
          <w:rFonts w:cs="Arial"/>
          <w:sz w:val="22"/>
          <w:szCs w:val="22"/>
        </w:rPr>
        <w:t>erreichen</w:t>
      </w:r>
      <w:r w:rsidRPr="00540057">
        <w:rPr>
          <w:rStyle w:val="Kommentarzeichen1"/>
          <w:rFonts w:cs="Arial"/>
          <w:sz w:val="22"/>
          <w:szCs w:val="22"/>
        </w:rPr>
        <w:t xml:space="preserve">. Das auf der embedded </w:t>
      </w:r>
      <w:proofErr w:type="spellStart"/>
      <w:r w:rsidRPr="00540057">
        <w:rPr>
          <w:rStyle w:val="Kommentarzeichen1"/>
          <w:rFonts w:cs="Arial"/>
          <w:sz w:val="22"/>
          <w:szCs w:val="22"/>
        </w:rPr>
        <w:t>world</w:t>
      </w:r>
      <w:proofErr w:type="spellEnd"/>
      <w:r w:rsidRPr="00540057">
        <w:rPr>
          <w:rStyle w:val="Kommentarzeichen1"/>
          <w:rFonts w:cs="Arial"/>
          <w:sz w:val="22"/>
          <w:szCs w:val="22"/>
        </w:rPr>
        <w:t xml:space="preserve"> 2021 DIGITAL vorgestellte </w:t>
      </w:r>
      <w:r w:rsidR="00E20D63">
        <w:rPr>
          <w:rStyle w:val="Kommentarzeichen1"/>
          <w:rFonts w:cs="Arial"/>
          <w:sz w:val="22"/>
          <w:szCs w:val="22"/>
        </w:rPr>
        <w:t>Starters</w:t>
      </w:r>
      <w:r w:rsidRPr="00540057">
        <w:rPr>
          <w:rStyle w:val="Kommentarzeichen1"/>
          <w:rFonts w:cs="Arial"/>
          <w:sz w:val="22"/>
          <w:szCs w:val="22"/>
        </w:rPr>
        <w:t>et basiert auf folge</w:t>
      </w:r>
      <w:r w:rsidR="00C0557B">
        <w:rPr>
          <w:rStyle w:val="Kommentarzeichen1"/>
          <w:rFonts w:cs="Arial"/>
          <w:sz w:val="22"/>
          <w:szCs w:val="22"/>
        </w:rPr>
        <w:t>nden Komponenten des COM-HPC-</w:t>
      </w:r>
      <w:r w:rsidR="00F5326D">
        <w:rPr>
          <w:rStyle w:val="Kommentarzeichen1"/>
          <w:rFonts w:cs="Arial"/>
          <w:sz w:val="22"/>
          <w:szCs w:val="22"/>
        </w:rPr>
        <w:t>Öko</w:t>
      </w:r>
      <w:r w:rsidR="00F5326D" w:rsidRPr="00540057">
        <w:rPr>
          <w:rStyle w:val="Kommentarzeichen1"/>
          <w:rFonts w:cs="Arial"/>
          <w:sz w:val="22"/>
          <w:szCs w:val="22"/>
        </w:rPr>
        <w:t xml:space="preserve">systems </w:t>
      </w:r>
      <w:r w:rsidRPr="00540057">
        <w:rPr>
          <w:rStyle w:val="Kommentarzeichen1"/>
          <w:rFonts w:cs="Arial"/>
          <w:sz w:val="22"/>
          <w:szCs w:val="22"/>
        </w:rPr>
        <w:t>von congatec:</w:t>
      </w:r>
    </w:p>
    <w:p w:rsidR="00540057" w:rsidRPr="00540057" w:rsidRDefault="00540057" w:rsidP="00D2738E">
      <w:pPr>
        <w:rPr>
          <w:rStyle w:val="Kommentarzeichen1"/>
          <w:rFonts w:cs="Arial"/>
          <w:sz w:val="22"/>
          <w:szCs w:val="22"/>
        </w:rPr>
      </w:pPr>
    </w:p>
    <w:p w:rsidR="00540057" w:rsidRPr="00C800B7" w:rsidRDefault="00540057" w:rsidP="00D2738E">
      <w:pPr>
        <w:rPr>
          <w:rStyle w:val="Kommentarzeichen1"/>
          <w:rFonts w:cs="Arial"/>
          <w:b/>
          <w:sz w:val="22"/>
          <w:szCs w:val="22"/>
          <w:lang w:val="en-US"/>
        </w:rPr>
      </w:pPr>
      <w:r w:rsidRPr="00C800B7">
        <w:rPr>
          <w:rStyle w:val="Kommentarzeichen1"/>
          <w:rFonts w:cs="Arial"/>
          <w:b/>
          <w:sz w:val="22"/>
          <w:szCs w:val="22"/>
          <w:lang w:val="en-US"/>
        </w:rPr>
        <w:t>ATX-</w:t>
      </w:r>
      <w:proofErr w:type="spellStart"/>
      <w:r w:rsidRPr="00C800B7">
        <w:rPr>
          <w:rStyle w:val="Kommentarzeichen1"/>
          <w:rFonts w:cs="Arial"/>
          <w:b/>
          <w:sz w:val="22"/>
          <w:szCs w:val="22"/>
          <w:lang w:val="en-US"/>
        </w:rPr>
        <w:t>kompatibles</w:t>
      </w:r>
      <w:proofErr w:type="spellEnd"/>
      <w:r w:rsidRPr="00C800B7">
        <w:rPr>
          <w:rStyle w:val="Kommentarzeichen1"/>
          <w:rFonts w:cs="Arial"/>
          <w:b/>
          <w:sz w:val="22"/>
          <w:szCs w:val="22"/>
          <w:lang w:val="en-US"/>
        </w:rPr>
        <w:t xml:space="preserve"> </w:t>
      </w:r>
      <w:r w:rsidR="00406DD0" w:rsidRPr="00C800B7">
        <w:rPr>
          <w:rStyle w:val="Kommentarzeichen1"/>
          <w:rFonts w:cs="Arial"/>
          <w:b/>
          <w:sz w:val="22"/>
          <w:szCs w:val="22"/>
          <w:lang w:val="en-US"/>
        </w:rPr>
        <w:t>Carrierboard</w:t>
      </w:r>
      <w:r w:rsidRPr="00C800B7">
        <w:rPr>
          <w:rStyle w:val="Kommentarzeichen1"/>
          <w:rFonts w:cs="Arial"/>
          <w:b/>
          <w:sz w:val="22"/>
          <w:szCs w:val="22"/>
          <w:lang w:val="en-US"/>
        </w:rPr>
        <w:t xml:space="preserve"> conga-HPC/EVAL-Client</w:t>
      </w:r>
    </w:p>
    <w:p w:rsidR="00540057" w:rsidRPr="00540057" w:rsidRDefault="00540057" w:rsidP="00D2738E">
      <w:pPr>
        <w:rPr>
          <w:rStyle w:val="Kommentarzeichen1"/>
          <w:rFonts w:cs="Arial"/>
          <w:sz w:val="22"/>
          <w:szCs w:val="22"/>
        </w:rPr>
      </w:pPr>
      <w:r w:rsidRPr="00540057">
        <w:rPr>
          <w:rStyle w:val="Kommentarzeichen1"/>
          <w:rFonts w:cs="Arial"/>
          <w:sz w:val="22"/>
          <w:szCs w:val="22"/>
        </w:rPr>
        <w:t xml:space="preserve">Das ATX-konforme </w:t>
      </w:r>
      <w:r w:rsidR="00D67C38">
        <w:rPr>
          <w:rStyle w:val="Kommentarzeichen1"/>
          <w:rFonts w:cs="Arial"/>
          <w:sz w:val="22"/>
          <w:szCs w:val="22"/>
        </w:rPr>
        <w:t>Carrier</w:t>
      </w:r>
      <w:r w:rsidRPr="00540057">
        <w:rPr>
          <w:rStyle w:val="Kommentarzeichen1"/>
          <w:rFonts w:cs="Arial"/>
          <w:sz w:val="22"/>
          <w:szCs w:val="22"/>
        </w:rPr>
        <w:t xml:space="preserve">board </w:t>
      </w:r>
      <w:proofErr w:type="spellStart"/>
      <w:r w:rsidRPr="00540057">
        <w:rPr>
          <w:rStyle w:val="Kommentarzeichen1"/>
          <w:rFonts w:cs="Arial"/>
          <w:sz w:val="22"/>
          <w:szCs w:val="22"/>
        </w:rPr>
        <w:t>conga</w:t>
      </w:r>
      <w:proofErr w:type="spellEnd"/>
      <w:r w:rsidRPr="00540057">
        <w:rPr>
          <w:rStyle w:val="Kommentarzeichen1"/>
          <w:rFonts w:cs="Arial"/>
          <w:sz w:val="22"/>
          <w:szCs w:val="22"/>
        </w:rPr>
        <w:t xml:space="preserve">-HPC/EVAL-Client </w:t>
      </w:r>
      <w:r w:rsidR="00E20D63">
        <w:rPr>
          <w:rStyle w:val="Kommentarzeichen1"/>
          <w:rFonts w:cs="Arial"/>
          <w:sz w:val="22"/>
          <w:szCs w:val="22"/>
        </w:rPr>
        <w:t>bietet</w:t>
      </w:r>
      <w:r w:rsidRPr="00540057">
        <w:rPr>
          <w:rStyle w:val="Kommentarzeichen1"/>
          <w:rFonts w:cs="Arial"/>
          <w:sz w:val="22"/>
          <w:szCs w:val="22"/>
        </w:rPr>
        <w:t xml:space="preserve"> alle vom neuen COM-HPC Client Standard spezifizierte</w:t>
      </w:r>
      <w:r w:rsidR="00E20D63">
        <w:rPr>
          <w:rStyle w:val="Kommentarzeichen1"/>
          <w:rFonts w:cs="Arial"/>
          <w:sz w:val="22"/>
          <w:szCs w:val="22"/>
        </w:rPr>
        <w:t>n</w:t>
      </w:r>
      <w:r w:rsidRPr="00540057">
        <w:rPr>
          <w:rStyle w:val="Kommentarzeichen1"/>
          <w:rFonts w:cs="Arial"/>
          <w:sz w:val="22"/>
          <w:szCs w:val="22"/>
        </w:rPr>
        <w:t xml:space="preserve"> Schnittstellen und unterstützt den erweiterten Temperaturbereich von -40°C bis +85°C. Es verfügt über zwei massiv</w:t>
      </w:r>
      <w:r w:rsidR="00D67C38">
        <w:rPr>
          <w:rStyle w:val="Kommentarzeichen1"/>
          <w:rFonts w:cs="Arial"/>
          <w:sz w:val="22"/>
          <w:szCs w:val="22"/>
        </w:rPr>
        <w:t>-</w:t>
      </w:r>
      <w:r w:rsidRPr="00540057">
        <w:rPr>
          <w:rStyle w:val="Kommentarzeichen1"/>
          <w:rFonts w:cs="Arial"/>
          <w:sz w:val="22"/>
          <w:szCs w:val="22"/>
        </w:rPr>
        <w:t>performante PCIe-Gen4x16</w:t>
      </w:r>
      <w:r w:rsidR="000974B3">
        <w:rPr>
          <w:rStyle w:val="Kommentarzeichen1"/>
          <w:rFonts w:cs="Arial"/>
          <w:sz w:val="22"/>
          <w:szCs w:val="22"/>
        </w:rPr>
        <w:t xml:space="preserve"> </w:t>
      </w:r>
      <w:r w:rsidR="00D67C38">
        <w:rPr>
          <w:rStyle w:val="Kommentarzeichen1"/>
          <w:rFonts w:cs="Arial"/>
          <w:sz w:val="22"/>
          <w:szCs w:val="22"/>
        </w:rPr>
        <w:t>Schnittstellen</w:t>
      </w:r>
      <w:r w:rsidRPr="00540057">
        <w:rPr>
          <w:rStyle w:val="Kommentarzeichen1"/>
          <w:rFonts w:cs="Arial"/>
          <w:sz w:val="22"/>
          <w:szCs w:val="22"/>
        </w:rPr>
        <w:t xml:space="preserve"> sowie eine Vielzahl </w:t>
      </w:r>
      <w:r w:rsidR="00D67C38">
        <w:rPr>
          <w:rStyle w:val="Kommentarzeichen1"/>
          <w:rFonts w:cs="Arial"/>
          <w:sz w:val="22"/>
          <w:szCs w:val="22"/>
        </w:rPr>
        <w:t>an</w:t>
      </w:r>
      <w:r w:rsidRPr="00540057">
        <w:rPr>
          <w:rStyle w:val="Kommentarzeichen1"/>
          <w:rFonts w:cs="Arial"/>
          <w:sz w:val="22"/>
          <w:szCs w:val="22"/>
        </w:rPr>
        <w:t xml:space="preserve"> LAN-</w:t>
      </w:r>
      <w:r w:rsidR="00D67C38">
        <w:rPr>
          <w:rStyle w:val="Kommentarzeichen1"/>
          <w:rFonts w:cs="Arial"/>
          <w:sz w:val="22"/>
          <w:szCs w:val="22"/>
        </w:rPr>
        <w:t xml:space="preserve">Optionen hinsichtlich der </w:t>
      </w:r>
      <w:r w:rsidRPr="00540057">
        <w:rPr>
          <w:rStyle w:val="Kommentarzeichen1"/>
          <w:rFonts w:cs="Arial"/>
          <w:sz w:val="22"/>
          <w:szCs w:val="22"/>
        </w:rPr>
        <w:t>Datenbandbreiten</w:t>
      </w:r>
      <w:r w:rsidR="00D67C38">
        <w:rPr>
          <w:rStyle w:val="Kommentarzeichen1"/>
          <w:rFonts w:cs="Arial"/>
          <w:sz w:val="22"/>
          <w:szCs w:val="22"/>
        </w:rPr>
        <w:t>, Ü</w:t>
      </w:r>
      <w:r w:rsidRPr="00540057">
        <w:rPr>
          <w:rStyle w:val="Kommentarzeichen1"/>
          <w:rFonts w:cs="Arial"/>
          <w:sz w:val="22"/>
          <w:szCs w:val="22"/>
        </w:rPr>
        <w:t>bertragungs</w:t>
      </w:r>
      <w:r w:rsidR="00D67C38">
        <w:rPr>
          <w:rStyle w:val="Kommentarzeichen1"/>
          <w:rFonts w:cs="Arial"/>
          <w:sz w:val="22"/>
          <w:szCs w:val="22"/>
        </w:rPr>
        <w:t>methoden und Buchsen –</w:t>
      </w:r>
      <w:r w:rsidRPr="00540057">
        <w:rPr>
          <w:rStyle w:val="Kommentarzeichen1"/>
          <w:rFonts w:cs="Arial"/>
          <w:sz w:val="22"/>
          <w:szCs w:val="22"/>
        </w:rPr>
        <w:t xml:space="preserve"> darunter 2x 10 GbE</w:t>
      </w:r>
      <w:r w:rsidR="00E20D63">
        <w:rPr>
          <w:rStyle w:val="Kommentarzeichen1"/>
          <w:rFonts w:cs="Arial"/>
          <w:sz w:val="22"/>
          <w:szCs w:val="22"/>
        </w:rPr>
        <w:t xml:space="preserve"> sowie</w:t>
      </w:r>
      <w:r w:rsidRPr="00540057">
        <w:rPr>
          <w:rStyle w:val="Kommentarzeichen1"/>
          <w:rFonts w:cs="Arial"/>
          <w:sz w:val="22"/>
          <w:szCs w:val="22"/>
        </w:rPr>
        <w:t xml:space="preserve"> 2,5 GbE und 1GbE-Unterstützung. Über Mezzanine-Karten kann der </w:t>
      </w:r>
      <w:r w:rsidR="00D67C38">
        <w:rPr>
          <w:rStyle w:val="Kommentarzeichen1"/>
          <w:rFonts w:cs="Arial"/>
          <w:sz w:val="22"/>
          <w:szCs w:val="22"/>
        </w:rPr>
        <w:t>Carrier</w:t>
      </w:r>
      <w:r w:rsidRPr="00540057">
        <w:rPr>
          <w:rStyle w:val="Kommentarzeichen1"/>
          <w:rFonts w:cs="Arial"/>
          <w:sz w:val="22"/>
          <w:szCs w:val="22"/>
        </w:rPr>
        <w:t xml:space="preserve"> sogar noch leistungsfähigere Schnittstellen bis </w:t>
      </w:r>
      <w:r w:rsidR="00D67C38">
        <w:rPr>
          <w:rStyle w:val="Kommentarzeichen1"/>
          <w:rFonts w:cs="Arial"/>
          <w:sz w:val="22"/>
          <w:szCs w:val="22"/>
        </w:rPr>
        <w:t xml:space="preserve">hin </w:t>
      </w:r>
      <w:r w:rsidRPr="00540057">
        <w:rPr>
          <w:rStyle w:val="Kommentarzeichen1"/>
          <w:rFonts w:cs="Arial"/>
          <w:sz w:val="22"/>
          <w:szCs w:val="22"/>
        </w:rPr>
        <w:t>zu 2x</w:t>
      </w:r>
      <w:r w:rsidR="00D67C38">
        <w:rPr>
          <w:rStyle w:val="Kommentarzeichen1"/>
          <w:rFonts w:cs="Arial"/>
          <w:sz w:val="22"/>
          <w:szCs w:val="22"/>
        </w:rPr>
        <w:t xml:space="preserve"> </w:t>
      </w:r>
      <w:r w:rsidRPr="00540057">
        <w:rPr>
          <w:rStyle w:val="Kommentarzeichen1"/>
          <w:rFonts w:cs="Arial"/>
          <w:sz w:val="22"/>
          <w:szCs w:val="22"/>
        </w:rPr>
        <w:t>2</w:t>
      </w:r>
      <w:r w:rsidR="00D67C38">
        <w:rPr>
          <w:rStyle w:val="Kommentarzeichen1"/>
          <w:rFonts w:cs="Arial"/>
          <w:sz w:val="22"/>
          <w:szCs w:val="22"/>
        </w:rPr>
        <w:t>5</w:t>
      </w:r>
      <w:r w:rsidRPr="00540057">
        <w:rPr>
          <w:rStyle w:val="Kommentarzeichen1"/>
          <w:rFonts w:cs="Arial"/>
          <w:sz w:val="22"/>
          <w:szCs w:val="22"/>
        </w:rPr>
        <w:t xml:space="preserve">GbE betreiben, was diese Evaluierungsplattform zu einer perfekten Lösung für massiv </w:t>
      </w:r>
      <w:r w:rsidR="00D67C38">
        <w:rPr>
          <w:rStyle w:val="Kommentarzeichen1"/>
          <w:rFonts w:cs="Arial"/>
          <w:sz w:val="22"/>
          <w:szCs w:val="22"/>
        </w:rPr>
        <w:t>vernetzte</w:t>
      </w:r>
      <w:r w:rsidRPr="00540057">
        <w:rPr>
          <w:rStyle w:val="Kommentarzeichen1"/>
          <w:rFonts w:cs="Arial"/>
          <w:sz w:val="22"/>
          <w:szCs w:val="22"/>
        </w:rPr>
        <w:t xml:space="preserve"> Edge-Geräte macht. Das Board unterstützt die COM-HPC-Größen A, B und C und </w:t>
      </w:r>
      <w:r w:rsidR="00D67C38">
        <w:rPr>
          <w:rStyle w:val="Kommentarzeichen1"/>
          <w:rFonts w:cs="Arial"/>
          <w:sz w:val="22"/>
          <w:szCs w:val="22"/>
        </w:rPr>
        <w:t>bietet</w:t>
      </w:r>
      <w:r w:rsidRPr="00540057">
        <w:rPr>
          <w:rStyle w:val="Kommentarzeichen1"/>
          <w:rFonts w:cs="Arial"/>
          <w:sz w:val="22"/>
          <w:szCs w:val="22"/>
        </w:rPr>
        <w:t xml:space="preserve"> alle Schnittstellen, die </w:t>
      </w:r>
      <w:r w:rsidR="00D67C38">
        <w:rPr>
          <w:rStyle w:val="Kommentarzeichen1"/>
          <w:rFonts w:cs="Arial"/>
          <w:sz w:val="22"/>
          <w:szCs w:val="22"/>
        </w:rPr>
        <w:t>Entwickler</w:t>
      </w:r>
      <w:r w:rsidRPr="00540057">
        <w:rPr>
          <w:rStyle w:val="Kommentarzeichen1"/>
          <w:rFonts w:cs="Arial"/>
          <w:sz w:val="22"/>
          <w:szCs w:val="22"/>
        </w:rPr>
        <w:t xml:space="preserve"> für Programmierung, Firmware-</w:t>
      </w:r>
      <w:proofErr w:type="spellStart"/>
      <w:r w:rsidRPr="00540057">
        <w:rPr>
          <w:rStyle w:val="Kommentarzeichen1"/>
          <w:rFonts w:cs="Arial"/>
          <w:sz w:val="22"/>
          <w:szCs w:val="22"/>
        </w:rPr>
        <w:t>Flashing</w:t>
      </w:r>
      <w:proofErr w:type="spellEnd"/>
      <w:r w:rsidRPr="00540057">
        <w:rPr>
          <w:rStyle w:val="Kommentarzeichen1"/>
          <w:rFonts w:cs="Arial"/>
          <w:sz w:val="22"/>
          <w:szCs w:val="22"/>
        </w:rPr>
        <w:t xml:space="preserve"> und </w:t>
      </w:r>
      <w:proofErr w:type="spellStart"/>
      <w:r w:rsidRPr="00540057">
        <w:rPr>
          <w:rStyle w:val="Kommentarzeichen1"/>
          <w:rFonts w:cs="Arial"/>
          <w:sz w:val="22"/>
          <w:szCs w:val="22"/>
        </w:rPr>
        <w:t>Reset</w:t>
      </w:r>
      <w:proofErr w:type="spellEnd"/>
      <w:r w:rsidRPr="00540057">
        <w:rPr>
          <w:rStyle w:val="Kommentarzeichen1"/>
          <w:rFonts w:cs="Arial"/>
          <w:sz w:val="22"/>
          <w:szCs w:val="22"/>
        </w:rPr>
        <w:t xml:space="preserve"> benötigen.</w:t>
      </w:r>
    </w:p>
    <w:p w:rsidR="00540057" w:rsidRPr="00540057" w:rsidRDefault="00540057" w:rsidP="00C27445">
      <w:pPr>
        <w:rPr>
          <w:rStyle w:val="Kommentarzeichen1"/>
          <w:rFonts w:cs="Arial"/>
          <w:sz w:val="22"/>
          <w:szCs w:val="22"/>
        </w:rPr>
      </w:pPr>
    </w:p>
    <w:p w:rsidR="00540057" w:rsidRPr="00406DD0" w:rsidRDefault="00540057" w:rsidP="00C27445">
      <w:pPr>
        <w:rPr>
          <w:rStyle w:val="Kommentarzeichen1"/>
          <w:rFonts w:cs="Arial"/>
          <w:b/>
          <w:sz w:val="22"/>
          <w:szCs w:val="22"/>
          <w:lang w:val="fr-FR"/>
        </w:rPr>
      </w:pPr>
      <w:proofErr w:type="spellStart"/>
      <w:r w:rsidRPr="00406DD0">
        <w:rPr>
          <w:rStyle w:val="Kommentarzeichen1"/>
          <w:rFonts w:cs="Arial"/>
          <w:b/>
          <w:sz w:val="22"/>
          <w:szCs w:val="22"/>
          <w:lang w:val="fr-FR"/>
        </w:rPr>
        <w:t>Neues</w:t>
      </w:r>
      <w:proofErr w:type="spellEnd"/>
      <w:r w:rsidRPr="00406DD0">
        <w:rPr>
          <w:rStyle w:val="Kommentarzeichen1"/>
          <w:rFonts w:cs="Arial"/>
          <w:b/>
          <w:sz w:val="22"/>
          <w:szCs w:val="22"/>
          <w:lang w:val="fr-FR"/>
        </w:rPr>
        <w:t xml:space="preserve"> cong</w:t>
      </w:r>
      <w:r w:rsidR="00D67C38">
        <w:rPr>
          <w:rStyle w:val="Kommentarzeichen1"/>
          <w:rFonts w:cs="Arial"/>
          <w:b/>
          <w:sz w:val="22"/>
          <w:szCs w:val="22"/>
          <w:lang w:val="fr-FR"/>
        </w:rPr>
        <w:t>a-HPC/</w:t>
      </w:r>
      <w:proofErr w:type="spellStart"/>
      <w:r w:rsidR="00D67C38">
        <w:rPr>
          <w:rStyle w:val="Kommentarzeichen1"/>
          <w:rFonts w:cs="Arial"/>
          <w:b/>
          <w:sz w:val="22"/>
          <w:szCs w:val="22"/>
          <w:lang w:val="fr-FR"/>
        </w:rPr>
        <w:t>cTLU</w:t>
      </w:r>
      <w:proofErr w:type="spellEnd"/>
      <w:r w:rsidR="00D67C38">
        <w:rPr>
          <w:rStyle w:val="Kommentarzeichen1"/>
          <w:rFonts w:cs="Arial"/>
          <w:b/>
          <w:sz w:val="22"/>
          <w:szCs w:val="22"/>
          <w:lang w:val="fr-FR"/>
        </w:rPr>
        <w:t xml:space="preserve"> COM-HPC Client-</w:t>
      </w:r>
      <w:proofErr w:type="spellStart"/>
      <w:r w:rsidR="00D67C38">
        <w:rPr>
          <w:rStyle w:val="Kommentarzeichen1"/>
          <w:rFonts w:cs="Arial"/>
          <w:b/>
          <w:sz w:val="22"/>
          <w:szCs w:val="22"/>
          <w:lang w:val="fr-FR"/>
        </w:rPr>
        <w:t>Modul</w:t>
      </w:r>
      <w:proofErr w:type="spellEnd"/>
    </w:p>
    <w:p w:rsidR="00540057" w:rsidRPr="00540057" w:rsidRDefault="00540057" w:rsidP="00C27445">
      <w:pPr>
        <w:rPr>
          <w:rStyle w:val="Kommentarzeichen1"/>
          <w:sz w:val="22"/>
          <w:szCs w:val="22"/>
        </w:rPr>
      </w:pPr>
      <w:r w:rsidRPr="00540057">
        <w:rPr>
          <w:rStyle w:val="Kommentarzeichen1"/>
          <w:rFonts w:cs="Arial"/>
          <w:sz w:val="22"/>
          <w:szCs w:val="22"/>
        </w:rPr>
        <w:t>Das Herzstück des vorgestellten Startersets für COM-HPC-Client-Designs</w:t>
      </w:r>
      <w:r w:rsidR="00D67C38">
        <w:rPr>
          <w:rStyle w:val="Kommentarzeichen1"/>
          <w:rFonts w:cs="Arial"/>
          <w:sz w:val="22"/>
          <w:szCs w:val="22"/>
        </w:rPr>
        <w:t xml:space="preserve"> ist das</w:t>
      </w:r>
      <w:r w:rsidRPr="00540057">
        <w:rPr>
          <w:rStyle w:val="Kommentarzeichen1"/>
          <w:rFonts w:cs="Arial"/>
          <w:sz w:val="22"/>
          <w:szCs w:val="22"/>
        </w:rPr>
        <w:t xml:space="preserve"> </w:t>
      </w:r>
      <w:r w:rsidR="00D67C38">
        <w:rPr>
          <w:rStyle w:val="Kommentarzeichen1"/>
          <w:rFonts w:cs="Arial"/>
          <w:sz w:val="22"/>
          <w:szCs w:val="22"/>
        </w:rPr>
        <w:t>Computer-on-</w:t>
      </w:r>
      <w:r w:rsidR="00C0557B">
        <w:rPr>
          <w:rStyle w:val="Kommentarzeichen1"/>
          <w:rFonts w:cs="Arial"/>
          <w:sz w:val="22"/>
          <w:szCs w:val="22"/>
        </w:rPr>
        <w:t xml:space="preserve">Modul </w:t>
      </w:r>
      <w:proofErr w:type="spellStart"/>
      <w:r w:rsidR="00C0557B">
        <w:rPr>
          <w:rStyle w:val="Kommentarzeichen1"/>
          <w:rFonts w:cs="Arial"/>
          <w:sz w:val="22"/>
          <w:szCs w:val="22"/>
        </w:rPr>
        <w:t>conga</w:t>
      </w:r>
      <w:proofErr w:type="spellEnd"/>
      <w:r w:rsidR="00C0557B">
        <w:rPr>
          <w:rStyle w:val="Kommentarzeichen1"/>
          <w:rFonts w:cs="Arial"/>
          <w:sz w:val="22"/>
          <w:szCs w:val="22"/>
        </w:rPr>
        <w:t>-HPC/</w:t>
      </w:r>
      <w:proofErr w:type="spellStart"/>
      <w:r w:rsidR="00C0557B">
        <w:rPr>
          <w:rStyle w:val="Kommentarzeichen1"/>
          <w:rFonts w:cs="Arial"/>
          <w:sz w:val="22"/>
          <w:szCs w:val="22"/>
        </w:rPr>
        <w:t>cTLU</w:t>
      </w:r>
      <w:proofErr w:type="spellEnd"/>
      <w:r w:rsidR="00C0557B">
        <w:rPr>
          <w:rStyle w:val="Kommentarzeichen1"/>
          <w:rFonts w:cs="Arial"/>
          <w:sz w:val="22"/>
          <w:szCs w:val="22"/>
        </w:rPr>
        <w:t>, da</w:t>
      </w:r>
      <w:r w:rsidR="00D67C38">
        <w:rPr>
          <w:rStyle w:val="Kommentarzeichen1"/>
          <w:rFonts w:cs="Arial"/>
          <w:sz w:val="22"/>
          <w:szCs w:val="22"/>
        </w:rPr>
        <w:t xml:space="preserve">s </w:t>
      </w:r>
      <w:r w:rsidRPr="00540057">
        <w:rPr>
          <w:rStyle w:val="Kommentarzeichen1"/>
          <w:rFonts w:cs="Arial"/>
          <w:sz w:val="22"/>
          <w:szCs w:val="22"/>
        </w:rPr>
        <w:t xml:space="preserve">in verschiedenen Prozessorkonfigurationen </w:t>
      </w:r>
      <w:r w:rsidRPr="00540057">
        <w:rPr>
          <w:rStyle w:val="Kommentarzeichen1"/>
          <w:rFonts w:cs="Arial"/>
          <w:sz w:val="22"/>
          <w:szCs w:val="22"/>
        </w:rPr>
        <w:lastRenderedPageBreak/>
        <w:t>erhältlich</w:t>
      </w:r>
      <w:r w:rsidR="00D67C38">
        <w:rPr>
          <w:rStyle w:val="Kommentarzeichen1"/>
          <w:rFonts w:cs="Arial"/>
          <w:sz w:val="22"/>
          <w:szCs w:val="22"/>
        </w:rPr>
        <w:t xml:space="preserve"> ist</w:t>
      </w:r>
      <w:r w:rsidRPr="00540057">
        <w:rPr>
          <w:rStyle w:val="Kommentarzeichen1"/>
          <w:rFonts w:cs="Arial"/>
          <w:sz w:val="22"/>
          <w:szCs w:val="22"/>
        </w:rPr>
        <w:t xml:space="preserve">. Für jede dieser Konfigurationen sind drei </w:t>
      </w:r>
      <w:r w:rsidR="00D67C38">
        <w:rPr>
          <w:rStyle w:val="Kommentarzeichen1"/>
          <w:rFonts w:cs="Arial"/>
          <w:sz w:val="22"/>
          <w:szCs w:val="22"/>
        </w:rPr>
        <w:t>unterschiedliche</w:t>
      </w:r>
      <w:r w:rsidRPr="00540057">
        <w:rPr>
          <w:rStyle w:val="Kommentarzeichen1"/>
          <w:rFonts w:cs="Arial"/>
          <w:sz w:val="22"/>
          <w:szCs w:val="22"/>
        </w:rPr>
        <w:t xml:space="preserve"> Kühllösungen verfügbar, die </w:t>
      </w:r>
      <w:r w:rsidR="00C0557B">
        <w:rPr>
          <w:rStyle w:val="Kommentarzeichen1"/>
          <w:rFonts w:cs="Arial"/>
          <w:sz w:val="22"/>
          <w:szCs w:val="22"/>
        </w:rPr>
        <w:t>passgenau</w:t>
      </w:r>
      <w:r w:rsidR="00D67C38">
        <w:rPr>
          <w:rStyle w:val="Kommentarzeichen1"/>
          <w:rFonts w:cs="Arial"/>
          <w:sz w:val="22"/>
          <w:szCs w:val="22"/>
        </w:rPr>
        <w:t xml:space="preserve"> auf den</w:t>
      </w:r>
      <w:r w:rsidRPr="00540057">
        <w:rPr>
          <w:rStyle w:val="Kommentarzeichen1"/>
          <w:rFonts w:cs="Arial"/>
          <w:sz w:val="22"/>
          <w:szCs w:val="22"/>
        </w:rPr>
        <w:t xml:space="preserve"> gesamten </w:t>
      </w:r>
      <w:r w:rsidR="00EB7EF3">
        <w:rPr>
          <w:rStyle w:val="Kommentarzeichen1"/>
          <w:rFonts w:cs="Arial"/>
          <w:sz w:val="22"/>
          <w:szCs w:val="22"/>
        </w:rPr>
        <w:t xml:space="preserve">von 12 bis 28 W </w:t>
      </w:r>
      <w:r w:rsidRPr="00540057">
        <w:rPr>
          <w:rStyle w:val="Kommentarzeichen1"/>
          <w:rFonts w:cs="Arial"/>
          <w:sz w:val="22"/>
          <w:szCs w:val="22"/>
        </w:rPr>
        <w:t>konfigurierbaren TPD-Bereich der Intel</w:t>
      </w:r>
      <w:r w:rsidRPr="00FB1E79">
        <w:rPr>
          <w:rStyle w:val="Kommentarzeichen1"/>
          <w:rFonts w:cs="Arial"/>
          <w:sz w:val="22"/>
          <w:szCs w:val="22"/>
          <w:vertAlign w:val="superscript"/>
        </w:rPr>
        <w:t>®</w:t>
      </w:r>
      <w:r w:rsidRPr="00540057">
        <w:rPr>
          <w:rStyle w:val="Kommentarzeichen1"/>
          <w:rFonts w:cs="Arial"/>
          <w:sz w:val="22"/>
          <w:szCs w:val="22"/>
        </w:rPr>
        <w:t xml:space="preserve"> Core™ Prozessoren </w:t>
      </w:r>
      <w:r w:rsidR="00D67C38">
        <w:rPr>
          <w:rStyle w:val="Kommentarzeichen1"/>
          <w:rFonts w:cs="Arial"/>
          <w:sz w:val="22"/>
          <w:szCs w:val="22"/>
        </w:rPr>
        <w:t xml:space="preserve">der 11. Generation abgestimmt </w:t>
      </w:r>
      <w:r w:rsidR="00C0557B">
        <w:rPr>
          <w:rStyle w:val="Kommentarzeichen1"/>
          <w:rFonts w:cs="Arial"/>
          <w:sz w:val="22"/>
          <w:szCs w:val="22"/>
        </w:rPr>
        <w:t>wurden</w:t>
      </w:r>
      <w:r w:rsidRPr="00540057">
        <w:rPr>
          <w:rStyle w:val="Kommentarzeichen1"/>
          <w:rFonts w:cs="Arial"/>
          <w:sz w:val="22"/>
          <w:szCs w:val="22"/>
        </w:rPr>
        <w:t>.</w:t>
      </w:r>
      <w:r w:rsidR="00D67C38">
        <w:rPr>
          <w:rStyle w:val="Kommentarzeichen1"/>
          <w:rFonts w:cs="Arial"/>
          <w:sz w:val="22"/>
          <w:szCs w:val="22"/>
        </w:rPr>
        <w:t xml:space="preserve"> </w:t>
      </w:r>
    </w:p>
    <w:p w:rsidR="00540057" w:rsidRPr="00540057" w:rsidRDefault="00540057" w:rsidP="00C27445">
      <w:pPr>
        <w:ind w:right="-2"/>
        <w:rPr>
          <w:rStyle w:val="Kommentarzeichen1"/>
          <w:rFonts w:cs="Arial"/>
          <w:sz w:val="22"/>
          <w:szCs w:val="22"/>
        </w:rPr>
      </w:pPr>
    </w:p>
    <w:tbl>
      <w:tblPr>
        <w:tblW w:w="9275" w:type="dxa"/>
        <w:tblLayout w:type="fixed"/>
        <w:tblLook w:val="04A0"/>
      </w:tblPr>
      <w:tblGrid>
        <w:gridCol w:w="249"/>
        <w:gridCol w:w="1473"/>
        <w:gridCol w:w="283"/>
        <w:gridCol w:w="964"/>
        <w:gridCol w:w="236"/>
        <w:gridCol w:w="1530"/>
        <w:gridCol w:w="236"/>
        <w:gridCol w:w="794"/>
        <w:gridCol w:w="237"/>
        <w:gridCol w:w="1076"/>
        <w:gridCol w:w="236"/>
        <w:gridCol w:w="874"/>
        <w:gridCol w:w="237"/>
        <w:gridCol w:w="850"/>
      </w:tblGrid>
      <w:tr w:rsidR="00540057" w:rsidRPr="00406DD0" w:rsidTr="00C27445">
        <w:trPr>
          <w:trHeight w:val="680"/>
        </w:trPr>
        <w:tc>
          <w:tcPr>
            <w:tcW w:w="249" w:type="dxa"/>
            <w:vAlign w:val="center"/>
          </w:tcPr>
          <w:p w:rsidR="00540057" w:rsidRPr="00540057" w:rsidRDefault="00540057" w:rsidP="005A3710">
            <w:pPr>
              <w:spacing w:line="240" w:lineRule="auto"/>
              <w:ind w:right="-2"/>
              <w:rPr>
                <w:rFonts w:cs="Arial"/>
                <w:b/>
                <w:bCs/>
                <w:color w:val="262626"/>
                <w:kern w:val="2"/>
                <w:sz w:val="18"/>
                <w:szCs w:val="18"/>
                <w:lang w:eastAsia="de-DE"/>
              </w:rPr>
            </w:pPr>
          </w:p>
        </w:tc>
        <w:tc>
          <w:tcPr>
            <w:tcW w:w="1473" w:type="dxa"/>
            <w:tcBorders>
              <w:top w:val="nil"/>
              <w:left w:val="nil"/>
              <w:bottom w:val="single" w:sz="4" w:space="0" w:color="auto"/>
              <w:right w:val="nil"/>
            </w:tcBorders>
            <w:hideMark/>
          </w:tcPr>
          <w:p w:rsidR="00540057" w:rsidRDefault="00406DD0" w:rsidP="005A3710">
            <w:pPr>
              <w:spacing w:line="240" w:lineRule="auto"/>
              <w:ind w:right="-2"/>
              <w:rPr>
                <w:rFonts w:cs="Arial"/>
                <w:b/>
                <w:bCs/>
                <w:color w:val="262626"/>
                <w:kern w:val="2"/>
                <w:sz w:val="18"/>
                <w:szCs w:val="18"/>
                <w:lang w:val="en-US" w:eastAsia="de-DE"/>
              </w:rPr>
            </w:pPr>
            <w:proofErr w:type="spellStart"/>
            <w:r>
              <w:rPr>
                <w:rFonts w:cs="Arial"/>
                <w:b/>
                <w:bCs/>
                <w:color w:val="262626" w:themeColor="text1" w:themeTint="D9"/>
                <w:sz w:val="18"/>
                <w:szCs w:val="18"/>
                <w:lang w:val="en-US" w:eastAsia="de-DE"/>
              </w:rPr>
              <w:t>Proz</w:t>
            </w:r>
            <w:r w:rsidR="00540057">
              <w:rPr>
                <w:rFonts w:cs="Arial"/>
                <w:b/>
                <w:bCs/>
                <w:color w:val="262626" w:themeColor="text1" w:themeTint="D9"/>
                <w:sz w:val="18"/>
                <w:szCs w:val="18"/>
                <w:lang w:val="en-US" w:eastAsia="de-DE"/>
              </w:rPr>
              <w:t>essor</w:t>
            </w:r>
            <w:proofErr w:type="spellEnd"/>
          </w:p>
        </w:tc>
        <w:tc>
          <w:tcPr>
            <w:tcW w:w="283" w:type="dxa"/>
          </w:tcPr>
          <w:p w:rsidR="00540057" w:rsidRDefault="00540057" w:rsidP="005A3710">
            <w:pPr>
              <w:spacing w:line="240" w:lineRule="auto"/>
              <w:ind w:right="-2"/>
              <w:rPr>
                <w:rFonts w:cs="Arial"/>
                <w:b/>
                <w:bCs/>
                <w:color w:val="262626"/>
                <w:kern w:val="2"/>
                <w:sz w:val="18"/>
                <w:szCs w:val="18"/>
                <w:lang w:val="en-US" w:eastAsia="de-DE"/>
              </w:rPr>
            </w:pPr>
          </w:p>
        </w:tc>
        <w:tc>
          <w:tcPr>
            <w:tcW w:w="964" w:type="dxa"/>
            <w:tcBorders>
              <w:top w:val="nil"/>
              <w:left w:val="nil"/>
              <w:bottom w:val="single" w:sz="4" w:space="0" w:color="auto"/>
              <w:right w:val="nil"/>
            </w:tcBorders>
            <w:hideMark/>
          </w:tcPr>
          <w:p w:rsidR="00540057" w:rsidRDefault="00540057" w:rsidP="00AE3998">
            <w:pPr>
              <w:spacing w:line="240" w:lineRule="auto"/>
              <w:ind w:right="-2"/>
              <w:rPr>
                <w:rFonts w:cs="Arial"/>
                <w:b/>
                <w:bCs/>
                <w:color w:val="262626"/>
                <w:kern w:val="2"/>
                <w:sz w:val="18"/>
                <w:szCs w:val="18"/>
                <w:lang w:val="en-US" w:eastAsia="de-DE"/>
              </w:rPr>
            </w:pPr>
            <w:r>
              <w:rPr>
                <w:rFonts w:cs="Arial"/>
                <w:b/>
                <w:bCs/>
                <w:color w:val="262626"/>
                <w:sz w:val="18"/>
                <w:szCs w:val="18"/>
                <w:lang w:val="en-US" w:eastAsia="de-DE"/>
              </w:rPr>
              <w:t>Cores/</w:t>
            </w:r>
            <w:r>
              <w:rPr>
                <w:rFonts w:cs="Arial"/>
                <w:b/>
                <w:bCs/>
                <w:color w:val="262626"/>
                <w:sz w:val="18"/>
                <w:szCs w:val="18"/>
                <w:lang w:val="en-US" w:eastAsia="de-DE"/>
              </w:rPr>
              <w:br/>
              <w:t>Threads</w:t>
            </w:r>
          </w:p>
        </w:tc>
        <w:tc>
          <w:tcPr>
            <w:tcW w:w="236" w:type="dxa"/>
          </w:tcPr>
          <w:p w:rsidR="00540057" w:rsidRDefault="00540057" w:rsidP="00AE3998">
            <w:pPr>
              <w:spacing w:line="240" w:lineRule="auto"/>
              <w:ind w:right="-2"/>
              <w:rPr>
                <w:rFonts w:cs="Arial"/>
                <w:b/>
                <w:bCs/>
                <w:color w:val="262626"/>
                <w:kern w:val="2"/>
                <w:sz w:val="18"/>
                <w:szCs w:val="18"/>
                <w:lang w:val="en-US" w:eastAsia="de-DE"/>
              </w:rPr>
            </w:pPr>
          </w:p>
        </w:tc>
        <w:tc>
          <w:tcPr>
            <w:tcW w:w="1530" w:type="dxa"/>
            <w:tcBorders>
              <w:top w:val="nil"/>
              <w:left w:val="nil"/>
              <w:bottom w:val="single" w:sz="4" w:space="0" w:color="auto"/>
              <w:right w:val="nil"/>
            </w:tcBorders>
            <w:hideMark/>
          </w:tcPr>
          <w:p w:rsidR="00540057" w:rsidRPr="00C27445" w:rsidRDefault="00496605" w:rsidP="00AE3998">
            <w:pPr>
              <w:spacing w:line="240" w:lineRule="auto"/>
              <w:ind w:right="-2"/>
              <w:rPr>
                <w:rFonts w:cs="Arial"/>
                <w:b/>
                <w:bCs/>
                <w:color w:val="262626"/>
                <w:kern w:val="2"/>
                <w:sz w:val="18"/>
                <w:szCs w:val="18"/>
                <w:lang w:eastAsia="de-DE"/>
              </w:rPr>
            </w:pPr>
            <w:r>
              <w:rPr>
                <w:rFonts w:cs="Arial"/>
                <w:b/>
                <w:bCs/>
                <w:color w:val="262626"/>
                <w:sz w:val="18"/>
                <w:szCs w:val="18"/>
                <w:lang w:eastAsia="de-DE"/>
              </w:rPr>
              <w:t>Taktrate</w:t>
            </w:r>
            <w:r w:rsidR="00540057" w:rsidRPr="00C27445">
              <w:rPr>
                <w:rFonts w:cs="Arial"/>
                <w:b/>
                <w:bCs/>
                <w:color w:val="262626"/>
                <w:sz w:val="18"/>
                <w:szCs w:val="18"/>
                <w:lang w:eastAsia="de-DE"/>
              </w:rPr>
              <w:t xml:space="preserve"> </w:t>
            </w:r>
            <w:r w:rsidR="00406DD0" w:rsidRPr="00C27445">
              <w:rPr>
                <w:rFonts w:cs="Arial"/>
                <w:b/>
                <w:bCs/>
                <w:color w:val="262626"/>
                <w:sz w:val="18"/>
                <w:szCs w:val="18"/>
                <w:lang w:eastAsia="de-DE"/>
              </w:rPr>
              <w:t>bei</w:t>
            </w:r>
            <w:r w:rsidR="00540057" w:rsidRPr="00C27445">
              <w:rPr>
                <w:rFonts w:cs="Arial"/>
                <w:b/>
                <w:bCs/>
                <w:color w:val="262626"/>
                <w:sz w:val="18"/>
                <w:szCs w:val="18"/>
                <w:lang w:eastAsia="de-DE"/>
              </w:rPr>
              <w:t xml:space="preserve"> 28/15/12W TDP, (Max Turbo) [GHz]</w:t>
            </w:r>
          </w:p>
        </w:tc>
        <w:tc>
          <w:tcPr>
            <w:tcW w:w="236" w:type="dxa"/>
          </w:tcPr>
          <w:p w:rsidR="00540057" w:rsidRPr="00C27445" w:rsidRDefault="00540057" w:rsidP="00AE3998">
            <w:pPr>
              <w:spacing w:line="240" w:lineRule="auto"/>
              <w:ind w:right="-2"/>
              <w:rPr>
                <w:rFonts w:cs="Arial"/>
                <w:b/>
                <w:bCs/>
                <w:color w:val="262626"/>
                <w:kern w:val="2"/>
                <w:sz w:val="18"/>
                <w:szCs w:val="18"/>
                <w:lang w:eastAsia="de-DE"/>
              </w:rPr>
            </w:pPr>
          </w:p>
        </w:tc>
        <w:tc>
          <w:tcPr>
            <w:tcW w:w="794" w:type="dxa"/>
            <w:tcBorders>
              <w:top w:val="nil"/>
              <w:left w:val="nil"/>
              <w:bottom w:val="single" w:sz="4" w:space="0" w:color="auto"/>
              <w:right w:val="nil"/>
            </w:tcBorders>
            <w:hideMark/>
          </w:tcPr>
          <w:p w:rsidR="00540057" w:rsidRDefault="00540057" w:rsidP="00AE3998">
            <w:pPr>
              <w:spacing w:line="240" w:lineRule="auto"/>
              <w:ind w:right="-2"/>
              <w:rPr>
                <w:rFonts w:cs="Arial"/>
                <w:b/>
                <w:bCs/>
                <w:color w:val="262626"/>
                <w:kern w:val="2"/>
                <w:sz w:val="18"/>
                <w:szCs w:val="18"/>
                <w:lang w:val="en-US" w:eastAsia="de-DE"/>
              </w:rPr>
            </w:pPr>
            <w:r>
              <w:rPr>
                <w:rFonts w:cs="Arial"/>
                <w:b/>
                <w:bCs/>
                <w:color w:val="262626"/>
                <w:sz w:val="18"/>
                <w:szCs w:val="18"/>
                <w:lang w:val="en-US" w:eastAsia="de-DE"/>
              </w:rPr>
              <w:t>Cache [MB]</w:t>
            </w:r>
          </w:p>
        </w:tc>
        <w:tc>
          <w:tcPr>
            <w:tcW w:w="237" w:type="dxa"/>
          </w:tcPr>
          <w:p w:rsidR="00540057" w:rsidRDefault="00540057" w:rsidP="00AE3998">
            <w:pPr>
              <w:spacing w:line="240" w:lineRule="auto"/>
              <w:ind w:right="-2"/>
              <w:rPr>
                <w:rFonts w:cs="Arial"/>
                <w:b/>
                <w:bCs/>
                <w:color w:val="262626"/>
                <w:kern w:val="2"/>
                <w:sz w:val="18"/>
                <w:szCs w:val="18"/>
                <w:lang w:val="en-US" w:eastAsia="de-DE"/>
              </w:rPr>
            </w:pPr>
          </w:p>
        </w:tc>
        <w:tc>
          <w:tcPr>
            <w:tcW w:w="1076" w:type="dxa"/>
            <w:tcBorders>
              <w:top w:val="nil"/>
              <w:left w:val="nil"/>
              <w:bottom w:val="single" w:sz="4" w:space="0" w:color="auto"/>
              <w:right w:val="nil"/>
            </w:tcBorders>
            <w:hideMark/>
          </w:tcPr>
          <w:p w:rsidR="00540057" w:rsidRDefault="00540057" w:rsidP="00AE3998">
            <w:pPr>
              <w:spacing w:line="240" w:lineRule="auto"/>
              <w:ind w:right="-2"/>
              <w:rPr>
                <w:rFonts w:cs="Arial"/>
                <w:b/>
                <w:bCs/>
                <w:color w:val="262626"/>
                <w:kern w:val="2"/>
                <w:sz w:val="18"/>
                <w:szCs w:val="18"/>
                <w:lang w:val="en-US" w:eastAsia="de-DE"/>
              </w:rPr>
            </w:pPr>
            <w:r>
              <w:rPr>
                <w:rFonts w:cs="Arial"/>
                <w:b/>
                <w:bCs/>
                <w:color w:val="262626"/>
                <w:sz w:val="18"/>
                <w:szCs w:val="18"/>
                <w:lang w:val="en-US" w:eastAsia="de-DE"/>
              </w:rPr>
              <w:t>Graphics Execution Units</w:t>
            </w:r>
          </w:p>
        </w:tc>
        <w:tc>
          <w:tcPr>
            <w:tcW w:w="236" w:type="dxa"/>
          </w:tcPr>
          <w:p w:rsidR="00540057" w:rsidRDefault="00540057" w:rsidP="00AE3998">
            <w:pPr>
              <w:spacing w:line="240" w:lineRule="auto"/>
              <w:ind w:right="-2"/>
              <w:rPr>
                <w:rFonts w:cs="Arial"/>
                <w:b/>
                <w:bCs/>
                <w:color w:val="262626"/>
                <w:kern w:val="2"/>
                <w:sz w:val="18"/>
                <w:szCs w:val="18"/>
                <w:lang w:val="en-US" w:eastAsia="de-DE"/>
              </w:rPr>
            </w:pPr>
          </w:p>
        </w:tc>
        <w:tc>
          <w:tcPr>
            <w:tcW w:w="874" w:type="dxa"/>
            <w:tcBorders>
              <w:top w:val="nil"/>
              <w:left w:val="nil"/>
              <w:bottom w:val="single" w:sz="4" w:space="0" w:color="auto"/>
              <w:right w:val="nil"/>
            </w:tcBorders>
            <w:hideMark/>
          </w:tcPr>
          <w:p w:rsidR="00540057" w:rsidRPr="00406DD0" w:rsidRDefault="00C27445" w:rsidP="00F02221">
            <w:pPr>
              <w:spacing w:line="240" w:lineRule="auto"/>
              <w:ind w:right="-2"/>
              <w:rPr>
                <w:rFonts w:cs="Arial"/>
                <w:b/>
                <w:bCs/>
                <w:color w:val="262626"/>
                <w:kern w:val="2"/>
                <w:sz w:val="18"/>
                <w:szCs w:val="18"/>
                <w:lang w:val="it-IT" w:eastAsia="de-DE"/>
              </w:rPr>
            </w:pPr>
            <w:proofErr w:type="spellStart"/>
            <w:r>
              <w:rPr>
                <w:rFonts w:cs="Arial"/>
                <w:b/>
                <w:bCs/>
                <w:color w:val="262626"/>
                <w:sz w:val="18"/>
                <w:szCs w:val="18"/>
                <w:lang w:val="en-US" w:eastAsia="de-DE"/>
              </w:rPr>
              <w:t>Erw</w:t>
            </w:r>
            <w:proofErr w:type="spellEnd"/>
            <w:r w:rsidR="00540057">
              <w:rPr>
                <w:rFonts w:cs="Arial"/>
                <w:b/>
                <w:bCs/>
                <w:color w:val="262626"/>
                <w:sz w:val="18"/>
                <w:szCs w:val="18"/>
                <w:lang w:val="en-US" w:eastAsia="de-DE"/>
              </w:rPr>
              <w:t>.</w:t>
            </w:r>
            <w:r w:rsidR="00540057" w:rsidRPr="00406DD0">
              <w:rPr>
                <w:rFonts w:cs="Arial"/>
                <w:b/>
                <w:bCs/>
                <w:color w:val="262626"/>
                <w:sz w:val="18"/>
                <w:szCs w:val="18"/>
                <w:lang w:val="it-IT" w:eastAsia="de-DE"/>
              </w:rPr>
              <w:t xml:space="preserve"> </w:t>
            </w:r>
            <w:proofErr w:type="spellStart"/>
            <w:proofErr w:type="gramStart"/>
            <w:r w:rsidR="00540057" w:rsidRPr="00406DD0">
              <w:rPr>
                <w:rFonts w:cs="Arial"/>
                <w:b/>
                <w:bCs/>
                <w:color w:val="262626"/>
                <w:sz w:val="18"/>
                <w:szCs w:val="18"/>
                <w:lang w:val="it-IT" w:eastAsia="de-DE"/>
              </w:rPr>
              <w:t>Temp</w:t>
            </w:r>
            <w:proofErr w:type="spellEnd"/>
            <w:r w:rsidR="00540057" w:rsidRPr="00406DD0">
              <w:rPr>
                <w:rFonts w:cs="Arial"/>
                <w:b/>
                <w:bCs/>
                <w:color w:val="262626"/>
                <w:sz w:val="18"/>
                <w:szCs w:val="18"/>
                <w:lang w:val="it-IT" w:eastAsia="de-DE"/>
              </w:rPr>
              <w:t>.</w:t>
            </w:r>
            <w:proofErr w:type="gramEnd"/>
            <w:r w:rsidR="00540057" w:rsidRPr="00406DD0">
              <w:rPr>
                <w:rFonts w:cs="Arial"/>
                <w:b/>
                <w:bCs/>
                <w:color w:val="262626"/>
                <w:sz w:val="18"/>
                <w:szCs w:val="18"/>
                <w:lang w:val="it-IT" w:eastAsia="de-DE"/>
              </w:rPr>
              <w:t xml:space="preserve"> </w:t>
            </w:r>
            <w:proofErr w:type="spellStart"/>
            <w:r>
              <w:rPr>
                <w:rFonts w:cs="Arial"/>
                <w:b/>
                <w:bCs/>
                <w:color w:val="262626"/>
                <w:sz w:val="18"/>
                <w:szCs w:val="18"/>
                <w:lang w:val="it-IT" w:eastAsia="de-DE"/>
              </w:rPr>
              <w:t>bereich</w:t>
            </w:r>
            <w:proofErr w:type="spellEnd"/>
          </w:p>
        </w:tc>
        <w:tc>
          <w:tcPr>
            <w:tcW w:w="237" w:type="dxa"/>
          </w:tcPr>
          <w:p w:rsidR="00540057" w:rsidRPr="00406DD0" w:rsidRDefault="00540057" w:rsidP="00AE3998">
            <w:pPr>
              <w:spacing w:line="240" w:lineRule="auto"/>
              <w:ind w:right="-2"/>
              <w:rPr>
                <w:rFonts w:cs="Arial"/>
                <w:b/>
                <w:bCs/>
                <w:color w:val="262626"/>
                <w:kern w:val="2"/>
                <w:sz w:val="18"/>
                <w:szCs w:val="18"/>
                <w:lang w:val="it-IT" w:eastAsia="de-DE"/>
              </w:rPr>
            </w:pPr>
          </w:p>
        </w:tc>
        <w:tc>
          <w:tcPr>
            <w:tcW w:w="850" w:type="dxa"/>
            <w:tcBorders>
              <w:top w:val="nil"/>
              <w:left w:val="nil"/>
              <w:bottom w:val="single" w:sz="4" w:space="0" w:color="auto"/>
              <w:right w:val="nil"/>
            </w:tcBorders>
            <w:hideMark/>
          </w:tcPr>
          <w:p w:rsidR="00540057" w:rsidRPr="00406DD0" w:rsidRDefault="00540057" w:rsidP="00AE3998">
            <w:pPr>
              <w:spacing w:line="240" w:lineRule="auto"/>
              <w:ind w:right="-2"/>
              <w:rPr>
                <w:rFonts w:cs="Arial"/>
                <w:b/>
                <w:bCs/>
                <w:color w:val="262626"/>
                <w:kern w:val="2"/>
                <w:sz w:val="18"/>
                <w:szCs w:val="18"/>
                <w:lang w:val="it-IT" w:eastAsia="de-DE"/>
              </w:rPr>
            </w:pPr>
            <w:proofErr w:type="spellStart"/>
            <w:r w:rsidRPr="00406DD0">
              <w:rPr>
                <w:rFonts w:cs="Arial"/>
                <w:b/>
                <w:bCs/>
                <w:color w:val="262626"/>
                <w:sz w:val="18"/>
                <w:szCs w:val="18"/>
                <w:lang w:val="it-IT" w:eastAsia="de-DE"/>
              </w:rPr>
              <w:t>InBand</w:t>
            </w:r>
            <w:proofErr w:type="spellEnd"/>
            <w:r w:rsidRPr="00406DD0">
              <w:rPr>
                <w:rFonts w:cs="Arial"/>
                <w:b/>
                <w:bCs/>
                <w:color w:val="262626"/>
                <w:sz w:val="18"/>
                <w:szCs w:val="18"/>
                <w:lang w:val="it-IT" w:eastAsia="de-DE"/>
              </w:rPr>
              <w:t xml:space="preserve"> ECC</w:t>
            </w:r>
          </w:p>
        </w:tc>
      </w:tr>
      <w:tr w:rsidR="00540057" w:rsidRPr="00406DD0" w:rsidTr="00AE3998">
        <w:trPr>
          <w:trHeight w:val="340"/>
        </w:trPr>
        <w:tc>
          <w:tcPr>
            <w:tcW w:w="249" w:type="dxa"/>
            <w:vAlign w:val="center"/>
          </w:tcPr>
          <w:p w:rsidR="00540057" w:rsidRPr="00406DD0" w:rsidRDefault="00540057" w:rsidP="005A3710">
            <w:pPr>
              <w:spacing w:line="240" w:lineRule="auto"/>
              <w:ind w:right="-2"/>
              <w:rPr>
                <w:rFonts w:cs="Arial"/>
                <w:kern w:val="2"/>
                <w:sz w:val="18"/>
                <w:szCs w:val="18"/>
                <w:lang w:val="it-IT"/>
              </w:rPr>
            </w:pPr>
          </w:p>
        </w:tc>
        <w:tc>
          <w:tcPr>
            <w:tcW w:w="1473" w:type="dxa"/>
            <w:tcBorders>
              <w:top w:val="single" w:sz="4" w:space="0" w:color="auto"/>
              <w:left w:val="nil"/>
              <w:bottom w:val="single" w:sz="4" w:space="0" w:color="auto"/>
              <w:right w:val="nil"/>
            </w:tcBorders>
            <w:vAlign w:val="center"/>
            <w:hideMark/>
          </w:tcPr>
          <w:p w:rsidR="00540057" w:rsidRPr="00406DD0" w:rsidRDefault="00540057" w:rsidP="005A3710">
            <w:pPr>
              <w:spacing w:line="240" w:lineRule="auto"/>
              <w:ind w:right="-2"/>
              <w:rPr>
                <w:rFonts w:cs="Arial"/>
                <w:kern w:val="2"/>
                <w:sz w:val="18"/>
                <w:szCs w:val="18"/>
                <w:lang w:val="it-IT"/>
              </w:rPr>
            </w:pPr>
            <w:r w:rsidRPr="00406DD0">
              <w:rPr>
                <w:rFonts w:cs="Arial"/>
                <w:bCs/>
                <w:color w:val="262626"/>
                <w:sz w:val="18"/>
                <w:szCs w:val="18"/>
                <w:lang w:val="it-IT" w:eastAsia="de-DE"/>
              </w:rPr>
              <w:t>Intel</w:t>
            </w:r>
            <w:r w:rsidRPr="00406DD0">
              <w:rPr>
                <w:rFonts w:cs="Arial"/>
                <w:bCs/>
                <w:color w:val="262626"/>
                <w:sz w:val="18"/>
                <w:szCs w:val="18"/>
                <w:vertAlign w:val="superscript"/>
                <w:lang w:val="it-IT" w:eastAsia="de-DE"/>
              </w:rPr>
              <w:t>®</w:t>
            </w:r>
            <w:r w:rsidRPr="00406DD0">
              <w:rPr>
                <w:rFonts w:cs="Arial"/>
                <w:bCs/>
                <w:color w:val="262626"/>
                <w:sz w:val="18"/>
                <w:szCs w:val="18"/>
                <w:lang w:val="it-IT" w:eastAsia="de-DE"/>
              </w:rPr>
              <w:t xml:space="preserve"> </w:t>
            </w:r>
            <w:proofErr w:type="spellStart"/>
            <w:r w:rsidRPr="00406DD0">
              <w:rPr>
                <w:rFonts w:cs="Arial"/>
                <w:bCs/>
                <w:color w:val="262626"/>
                <w:sz w:val="18"/>
                <w:szCs w:val="18"/>
                <w:lang w:val="it-IT" w:eastAsia="de-DE"/>
              </w:rPr>
              <w:t>Core</w:t>
            </w:r>
            <w:proofErr w:type="spellEnd"/>
            <w:r w:rsidRPr="00406DD0">
              <w:rPr>
                <w:rFonts w:cs="Arial"/>
                <w:bCs/>
                <w:color w:val="262626"/>
                <w:sz w:val="18"/>
                <w:szCs w:val="18"/>
                <w:lang w:val="it-IT" w:eastAsia="de-DE"/>
              </w:rPr>
              <w:t xml:space="preserve">™ </w:t>
            </w:r>
            <w:r w:rsidRPr="00406DD0">
              <w:rPr>
                <w:rFonts w:cs="Arial"/>
                <w:sz w:val="18"/>
                <w:szCs w:val="18"/>
                <w:lang w:val="it-IT"/>
              </w:rPr>
              <w:t>i7-1185G7E</w:t>
            </w:r>
          </w:p>
        </w:tc>
        <w:tc>
          <w:tcPr>
            <w:tcW w:w="283" w:type="dxa"/>
            <w:vAlign w:val="center"/>
          </w:tcPr>
          <w:p w:rsidR="00540057" w:rsidRPr="00406DD0" w:rsidRDefault="00540057" w:rsidP="005A3710">
            <w:pPr>
              <w:spacing w:line="240" w:lineRule="auto"/>
              <w:ind w:right="-2"/>
              <w:rPr>
                <w:rFonts w:cs="Arial"/>
                <w:kern w:val="2"/>
                <w:sz w:val="18"/>
                <w:szCs w:val="18"/>
                <w:lang w:val="it-IT"/>
              </w:rPr>
            </w:pPr>
          </w:p>
        </w:tc>
        <w:tc>
          <w:tcPr>
            <w:tcW w:w="964" w:type="dxa"/>
            <w:tcBorders>
              <w:top w:val="single" w:sz="4" w:space="0" w:color="auto"/>
              <w:left w:val="nil"/>
              <w:bottom w:val="single" w:sz="4" w:space="0" w:color="auto"/>
              <w:right w:val="nil"/>
            </w:tcBorders>
            <w:vAlign w:val="center"/>
            <w:hideMark/>
          </w:tcPr>
          <w:p w:rsidR="00540057" w:rsidRPr="00406DD0" w:rsidRDefault="00540057" w:rsidP="005A3710">
            <w:pPr>
              <w:spacing w:line="240" w:lineRule="auto"/>
              <w:ind w:right="-2"/>
              <w:rPr>
                <w:rFonts w:cs="Arial"/>
                <w:kern w:val="2"/>
                <w:sz w:val="18"/>
                <w:szCs w:val="18"/>
                <w:lang w:val="it-IT"/>
              </w:rPr>
            </w:pPr>
            <w:r w:rsidRPr="00406DD0">
              <w:rPr>
                <w:rFonts w:cs="Arial"/>
                <w:sz w:val="18"/>
                <w:szCs w:val="18"/>
                <w:lang w:val="it-IT"/>
              </w:rPr>
              <w:t>4/8</w:t>
            </w:r>
          </w:p>
        </w:tc>
        <w:tc>
          <w:tcPr>
            <w:tcW w:w="236" w:type="dxa"/>
            <w:vAlign w:val="center"/>
          </w:tcPr>
          <w:p w:rsidR="00540057" w:rsidRPr="00406DD0" w:rsidRDefault="00540057" w:rsidP="005A3710">
            <w:pPr>
              <w:spacing w:line="240" w:lineRule="auto"/>
              <w:ind w:right="-2"/>
              <w:rPr>
                <w:rFonts w:cs="Arial"/>
                <w:kern w:val="2"/>
                <w:sz w:val="18"/>
                <w:szCs w:val="18"/>
                <w:lang w:val="it-IT"/>
              </w:rPr>
            </w:pPr>
          </w:p>
        </w:tc>
        <w:tc>
          <w:tcPr>
            <w:tcW w:w="1530" w:type="dxa"/>
            <w:tcBorders>
              <w:top w:val="single" w:sz="4" w:space="0" w:color="auto"/>
              <w:left w:val="nil"/>
              <w:bottom w:val="single" w:sz="4" w:space="0" w:color="auto"/>
              <w:right w:val="nil"/>
            </w:tcBorders>
            <w:vAlign w:val="center"/>
            <w:hideMark/>
          </w:tcPr>
          <w:p w:rsidR="00540057" w:rsidRPr="00406DD0" w:rsidRDefault="00540057" w:rsidP="005A3710">
            <w:pPr>
              <w:spacing w:line="240" w:lineRule="auto"/>
              <w:ind w:right="-2"/>
              <w:rPr>
                <w:rFonts w:cs="Arial"/>
                <w:kern w:val="2"/>
                <w:sz w:val="18"/>
                <w:szCs w:val="18"/>
                <w:lang w:val="it-IT"/>
              </w:rPr>
            </w:pPr>
            <w:r w:rsidRPr="00406DD0">
              <w:rPr>
                <w:rFonts w:cs="Arial"/>
                <w:sz w:val="18"/>
                <w:szCs w:val="18"/>
                <w:lang w:val="it-IT"/>
              </w:rPr>
              <w:t>2.8/1.8/1.2 (4.4)</w:t>
            </w:r>
          </w:p>
        </w:tc>
        <w:tc>
          <w:tcPr>
            <w:tcW w:w="236" w:type="dxa"/>
            <w:vAlign w:val="center"/>
          </w:tcPr>
          <w:p w:rsidR="00540057" w:rsidRPr="00406DD0" w:rsidRDefault="00540057" w:rsidP="005A3710">
            <w:pPr>
              <w:spacing w:line="240" w:lineRule="auto"/>
              <w:ind w:right="-2"/>
              <w:rPr>
                <w:rFonts w:cs="Arial"/>
                <w:kern w:val="2"/>
                <w:sz w:val="18"/>
                <w:szCs w:val="18"/>
                <w:lang w:val="it-IT"/>
              </w:rPr>
            </w:pPr>
          </w:p>
        </w:tc>
        <w:tc>
          <w:tcPr>
            <w:tcW w:w="794" w:type="dxa"/>
            <w:tcBorders>
              <w:top w:val="single" w:sz="4" w:space="0" w:color="auto"/>
              <w:left w:val="nil"/>
              <w:bottom w:val="single" w:sz="4" w:space="0" w:color="auto"/>
              <w:right w:val="nil"/>
            </w:tcBorders>
            <w:vAlign w:val="center"/>
            <w:hideMark/>
          </w:tcPr>
          <w:p w:rsidR="00540057" w:rsidRPr="00406DD0" w:rsidRDefault="00540057" w:rsidP="00F02221">
            <w:pPr>
              <w:spacing w:line="240" w:lineRule="auto"/>
              <w:ind w:right="-2"/>
              <w:rPr>
                <w:rFonts w:cs="Arial"/>
                <w:kern w:val="2"/>
                <w:sz w:val="18"/>
                <w:szCs w:val="18"/>
                <w:lang w:val="it-IT"/>
              </w:rPr>
            </w:pPr>
            <w:r w:rsidRPr="00406DD0">
              <w:rPr>
                <w:rFonts w:cs="Arial"/>
                <w:sz w:val="18"/>
                <w:szCs w:val="18"/>
                <w:lang w:val="it-IT"/>
              </w:rPr>
              <w:t>12</w:t>
            </w:r>
          </w:p>
        </w:tc>
        <w:tc>
          <w:tcPr>
            <w:tcW w:w="237" w:type="dxa"/>
          </w:tcPr>
          <w:p w:rsidR="00540057" w:rsidRPr="00406DD0" w:rsidRDefault="00540057" w:rsidP="00F02221">
            <w:pPr>
              <w:spacing w:line="240" w:lineRule="auto"/>
              <w:ind w:right="-2"/>
              <w:rPr>
                <w:rFonts w:cs="Arial"/>
                <w:kern w:val="2"/>
                <w:sz w:val="18"/>
                <w:szCs w:val="18"/>
                <w:lang w:val="it-IT"/>
              </w:rPr>
            </w:pPr>
          </w:p>
        </w:tc>
        <w:tc>
          <w:tcPr>
            <w:tcW w:w="1076" w:type="dxa"/>
            <w:tcBorders>
              <w:top w:val="single" w:sz="4" w:space="0" w:color="auto"/>
              <w:left w:val="nil"/>
              <w:bottom w:val="single" w:sz="4" w:space="0" w:color="auto"/>
              <w:right w:val="nil"/>
            </w:tcBorders>
            <w:vAlign w:val="center"/>
            <w:hideMark/>
          </w:tcPr>
          <w:p w:rsidR="00540057" w:rsidRPr="00406DD0" w:rsidRDefault="00540057" w:rsidP="00F02221">
            <w:pPr>
              <w:spacing w:line="240" w:lineRule="auto"/>
              <w:ind w:right="-2"/>
              <w:rPr>
                <w:rFonts w:cs="Arial"/>
                <w:kern w:val="2"/>
                <w:sz w:val="18"/>
                <w:szCs w:val="18"/>
                <w:lang w:val="it-IT"/>
              </w:rPr>
            </w:pPr>
            <w:r w:rsidRPr="00406DD0">
              <w:rPr>
                <w:rFonts w:cs="Arial"/>
                <w:sz w:val="18"/>
                <w:szCs w:val="18"/>
                <w:lang w:val="it-IT"/>
              </w:rPr>
              <w:t>96</w:t>
            </w:r>
          </w:p>
        </w:tc>
        <w:tc>
          <w:tcPr>
            <w:tcW w:w="236" w:type="dxa"/>
            <w:vAlign w:val="center"/>
          </w:tcPr>
          <w:p w:rsidR="00540057" w:rsidRPr="00406DD0" w:rsidRDefault="00540057" w:rsidP="005A3710">
            <w:pPr>
              <w:spacing w:line="240" w:lineRule="auto"/>
              <w:ind w:right="-2"/>
              <w:rPr>
                <w:rFonts w:cs="Arial"/>
                <w:kern w:val="2"/>
                <w:sz w:val="18"/>
                <w:szCs w:val="18"/>
                <w:lang w:val="it-IT"/>
              </w:rPr>
            </w:pPr>
          </w:p>
        </w:tc>
        <w:tc>
          <w:tcPr>
            <w:tcW w:w="874" w:type="dxa"/>
            <w:tcBorders>
              <w:top w:val="single" w:sz="4" w:space="0" w:color="auto"/>
              <w:left w:val="nil"/>
              <w:bottom w:val="single" w:sz="4" w:space="0" w:color="auto"/>
              <w:right w:val="nil"/>
            </w:tcBorders>
            <w:vAlign w:val="center"/>
            <w:hideMark/>
          </w:tcPr>
          <w:p w:rsidR="00540057" w:rsidRPr="00406DD0" w:rsidRDefault="00540057" w:rsidP="00F02221">
            <w:pPr>
              <w:spacing w:line="240" w:lineRule="auto"/>
              <w:ind w:right="-2"/>
              <w:rPr>
                <w:rFonts w:cs="Arial"/>
                <w:kern w:val="2"/>
                <w:sz w:val="18"/>
                <w:szCs w:val="18"/>
                <w:lang w:val="it-IT"/>
              </w:rPr>
            </w:pPr>
            <w:r w:rsidRPr="00406DD0">
              <w:rPr>
                <w:rFonts w:cs="Arial"/>
                <w:sz w:val="18"/>
                <w:szCs w:val="18"/>
                <w:lang w:val="it-IT"/>
              </w:rPr>
              <w:t>-</w:t>
            </w:r>
          </w:p>
        </w:tc>
        <w:tc>
          <w:tcPr>
            <w:tcW w:w="237" w:type="dxa"/>
          </w:tcPr>
          <w:p w:rsidR="00540057" w:rsidRPr="00406DD0" w:rsidRDefault="00540057" w:rsidP="005A3710">
            <w:pPr>
              <w:spacing w:line="240" w:lineRule="auto"/>
              <w:ind w:right="-2"/>
              <w:rPr>
                <w:rFonts w:cs="Arial"/>
                <w:kern w:val="2"/>
                <w:sz w:val="18"/>
                <w:szCs w:val="18"/>
                <w:lang w:val="it-IT"/>
              </w:rPr>
            </w:pPr>
          </w:p>
        </w:tc>
        <w:tc>
          <w:tcPr>
            <w:tcW w:w="850" w:type="dxa"/>
            <w:tcBorders>
              <w:top w:val="single" w:sz="4" w:space="0" w:color="auto"/>
              <w:left w:val="nil"/>
              <w:bottom w:val="single" w:sz="4" w:space="0" w:color="auto"/>
              <w:right w:val="nil"/>
            </w:tcBorders>
            <w:vAlign w:val="center"/>
          </w:tcPr>
          <w:p w:rsidR="00540057" w:rsidRPr="00406DD0" w:rsidRDefault="00EF38E3" w:rsidP="00AE3998">
            <w:pPr>
              <w:spacing w:line="240" w:lineRule="auto"/>
              <w:ind w:right="-2"/>
              <w:rPr>
                <w:rFonts w:cs="Arial"/>
                <w:kern w:val="2"/>
                <w:sz w:val="18"/>
                <w:szCs w:val="18"/>
                <w:lang w:val="it-IT"/>
              </w:rPr>
            </w:pPr>
            <w:r>
              <w:rPr>
                <w:rFonts w:cs="Arial"/>
                <w:kern w:val="2"/>
                <w:sz w:val="18"/>
                <w:szCs w:val="18"/>
                <w:lang w:val="it-IT"/>
              </w:rPr>
              <w:t>-</w:t>
            </w:r>
          </w:p>
        </w:tc>
      </w:tr>
      <w:tr w:rsidR="00540057" w:rsidTr="00AE3998">
        <w:trPr>
          <w:trHeight w:val="340"/>
        </w:trPr>
        <w:tc>
          <w:tcPr>
            <w:tcW w:w="249" w:type="dxa"/>
            <w:vAlign w:val="center"/>
          </w:tcPr>
          <w:p w:rsidR="00540057" w:rsidRPr="00406DD0" w:rsidRDefault="00540057" w:rsidP="005A3710">
            <w:pPr>
              <w:spacing w:line="240" w:lineRule="auto"/>
              <w:ind w:right="-2"/>
              <w:rPr>
                <w:rFonts w:cs="Arial"/>
                <w:kern w:val="2"/>
                <w:sz w:val="18"/>
                <w:szCs w:val="18"/>
                <w:lang w:val="it-IT"/>
              </w:rPr>
            </w:pPr>
          </w:p>
        </w:tc>
        <w:tc>
          <w:tcPr>
            <w:tcW w:w="1473" w:type="dxa"/>
            <w:tcBorders>
              <w:top w:val="single" w:sz="4" w:space="0" w:color="auto"/>
              <w:left w:val="nil"/>
              <w:bottom w:val="single" w:sz="4" w:space="0" w:color="auto"/>
              <w:right w:val="nil"/>
            </w:tcBorders>
            <w:vAlign w:val="center"/>
            <w:hideMark/>
          </w:tcPr>
          <w:p w:rsidR="00540057" w:rsidRPr="00406DD0" w:rsidRDefault="00540057" w:rsidP="005A3710">
            <w:pPr>
              <w:spacing w:line="240" w:lineRule="auto"/>
              <w:ind w:right="-2"/>
              <w:rPr>
                <w:rFonts w:cs="Arial"/>
                <w:kern w:val="2"/>
                <w:sz w:val="18"/>
                <w:szCs w:val="18"/>
                <w:lang w:val="it-IT"/>
              </w:rPr>
            </w:pPr>
            <w:r w:rsidRPr="00406DD0">
              <w:rPr>
                <w:rFonts w:cs="Arial"/>
                <w:bCs/>
                <w:color w:val="262626"/>
                <w:sz w:val="18"/>
                <w:szCs w:val="18"/>
                <w:lang w:val="it-IT" w:eastAsia="de-DE"/>
              </w:rPr>
              <w:t>Intel</w:t>
            </w:r>
            <w:r w:rsidRPr="00406DD0">
              <w:rPr>
                <w:rFonts w:cs="Arial"/>
                <w:bCs/>
                <w:color w:val="262626"/>
                <w:sz w:val="18"/>
                <w:szCs w:val="18"/>
                <w:vertAlign w:val="superscript"/>
                <w:lang w:val="it-IT" w:eastAsia="de-DE"/>
              </w:rPr>
              <w:t>®</w:t>
            </w:r>
            <w:r w:rsidRPr="00406DD0">
              <w:rPr>
                <w:rFonts w:cs="Arial"/>
                <w:bCs/>
                <w:color w:val="262626"/>
                <w:sz w:val="18"/>
                <w:szCs w:val="18"/>
                <w:lang w:val="it-IT" w:eastAsia="de-DE"/>
              </w:rPr>
              <w:t xml:space="preserve"> </w:t>
            </w:r>
            <w:proofErr w:type="spellStart"/>
            <w:r w:rsidRPr="00406DD0">
              <w:rPr>
                <w:rFonts w:cs="Arial"/>
                <w:bCs/>
                <w:color w:val="262626"/>
                <w:sz w:val="18"/>
                <w:szCs w:val="18"/>
                <w:lang w:val="it-IT" w:eastAsia="de-DE"/>
              </w:rPr>
              <w:t>Core</w:t>
            </w:r>
            <w:proofErr w:type="spellEnd"/>
            <w:r w:rsidRPr="00406DD0">
              <w:rPr>
                <w:rFonts w:cs="Arial"/>
                <w:bCs/>
                <w:color w:val="262626"/>
                <w:sz w:val="18"/>
                <w:szCs w:val="18"/>
                <w:lang w:val="it-IT" w:eastAsia="de-DE"/>
              </w:rPr>
              <w:t xml:space="preserve">™ </w:t>
            </w:r>
            <w:r w:rsidRPr="00406DD0">
              <w:rPr>
                <w:rFonts w:cs="Arial"/>
                <w:sz w:val="18"/>
                <w:szCs w:val="18"/>
                <w:lang w:val="it-IT"/>
              </w:rPr>
              <w:t>i7-1185GRE</w:t>
            </w:r>
          </w:p>
        </w:tc>
        <w:tc>
          <w:tcPr>
            <w:tcW w:w="283" w:type="dxa"/>
            <w:vAlign w:val="center"/>
          </w:tcPr>
          <w:p w:rsidR="00540057" w:rsidRPr="00406DD0" w:rsidRDefault="00540057" w:rsidP="005A3710">
            <w:pPr>
              <w:spacing w:line="240" w:lineRule="auto"/>
              <w:ind w:right="-2"/>
              <w:rPr>
                <w:rFonts w:cs="Arial"/>
                <w:kern w:val="2"/>
                <w:sz w:val="18"/>
                <w:szCs w:val="18"/>
                <w:lang w:val="it-IT"/>
              </w:rPr>
            </w:pPr>
          </w:p>
        </w:tc>
        <w:tc>
          <w:tcPr>
            <w:tcW w:w="964" w:type="dxa"/>
            <w:tcBorders>
              <w:top w:val="single" w:sz="4" w:space="0" w:color="auto"/>
              <w:left w:val="nil"/>
              <w:bottom w:val="single" w:sz="4" w:space="0" w:color="auto"/>
              <w:right w:val="nil"/>
            </w:tcBorders>
            <w:vAlign w:val="center"/>
            <w:hideMark/>
          </w:tcPr>
          <w:p w:rsidR="00540057" w:rsidRPr="00406DD0" w:rsidRDefault="00540057" w:rsidP="005A3710">
            <w:pPr>
              <w:spacing w:line="240" w:lineRule="auto"/>
              <w:ind w:right="-2"/>
              <w:rPr>
                <w:rFonts w:cs="Arial"/>
                <w:kern w:val="2"/>
                <w:sz w:val="18"/>
                <w:szCs w:val="18"/>
                <w:lang w:val="it-IT"/>
              </w:rPr>
            </w:pPr>
            <w:r w:rsidRPr="00406DD0">
              <w:rPr>
                <w:rFonts w:cs="Arial"/>
                <w:sz w:val="18"/>
                <w:szCs w:val="18"/>
                <w:lang w:val="it-IT"/>
              </w:rPr>
              <w:t>4/8</w:t>
            </w:r>
          </w:p>
        </w:tc>
        <w:tc>
          <w:tcPr>
            <w:tcW w:w="236" w:type="dxa"/>
            <w:vAlign w:val="center"/>
          </w:tcPr>
          <w:p w:rsidR="00540057" w:rsidRPr="00406DD0" w:rsidRDefault="00540057" w:rsidP="005A3710">
            <w:pPr>
              <w:spacing w:line="240" w:lineRule="auto"/>
              <w:ind w:right="-2"/>
              <w:rPr>
                <w:rFonts w:cs="Arial"/>
                <w:kern w:val="2"/>
                <w:sz w:val="18"/>
                <w:szCs w:val="18"/>
                <w:lang w:val="it-IT"/>
              </w:rPr>
            </w:pPr>
          </w:p>
        </w:tc>
        <w:tc>
          <w:tcPr>
            <w:tcW w:w="1530" w:type="dxa"/>
            <w:tcBorders>
              <w:top w:val="single" w:sz="4" w:space="0" w:color="auto"/>
              <w:left w:val="nil"/>
              <w:bottom w:val="single" w:sz="4" w:space="0" w:color="auto"/>
              <w:right w:val="nil"/>
            </w:tcBorders>
            <w:vAlign w:val="center"/>
            <w:hideMark/>
          </w:tcPr>
          <w:p w:rsidR="00540057" w:rsidRPr="00406DD0" w:rsidRDefault="00540057" w:rsidP="005A3710">
            <w:pPr>
              <w:spacing w:line="240" w:lineRule="auto"/>
              <w:ind w:right="-2"/>
              <w:rPr>
                <w:rFonts w:cs="Arial"/>
                <w:kern w:val="2"/>
                <w:sz w:val="18"/>
                <w:szCs w:val="18"/>
                <w:lang w:val="it-IT"/>
              </w:rPr>
            </w:pPr>
            <w:r w:rsidRPr="00406DD0">
              <w:rPr>
                <w:rFonts w:cs="Arial"/>
                <w:sz w:val="18"/>
                <w:szCs w:val="18"/>
                <w:lang w:val="it-IT"/>
              </w:rPr>
              <w:t>2.8/1.8/1.2 (4.4)</w:t>
            </w:r>
          </w:p>
        </w:tc>
        <w:tc>
          <w:tcPr>
            <w:tcW w:w="236" w:type="dxa"/>
            <w:vAlign w:val="center"/>
          </w:tcPr>
          <w:p w:rsidR="00540057" w:rsidRPr="00406DD0" w:rsidRDefault="00540057" w:rsidP="005A3710">
            <w:pPr>
              <w:spacing w:line="240" w:lineRule="auto"/>
              <w:ind w:right="-2"/>
              <w:rPr>
                <w:rFonts w:cs="Arial"/>
                <w:kern w:val="2"/>
                <w:sz w:val="18"/>
                <w:szCs w:val="18"/>
                <w:lang w:val="it-IT"/>
              </w:rPr>
            </w:pPr>
          </w:p>
        </w:tc>
        <w:tc>
          <w:tcPr>
            <w:tcW w:w="794" w:type="dxa"/>
            <w:tcBorders>
              <w:top w:val="single" w:sz="4" w:space="0" w:color="auto"/>
              <w:left w:val="nil"/>
              <w:bottom w:val="single" w:sz="4" w:space="0" w:color="auto"/>
              <w:right w:val="nil"/>
            </w:tcBorders>
            <w:vAlign w:val="center"/>
            <w:hideMark/>
          </w:tcPr>
          <w:p w:rsidR="00540057" w:rsidRDefault="00540057" w:rsidP="00F02221">
            <w:pPr>
              <w:spacing w:line="240" w:lineRule="auto"/>
              <w:ind w:right="-2"/>
              <w:rPr>
                <w:rFonts w:cs="Arial"/>
                <w:kern w:val="2"/>
                <w:sz w:val="18"/>
                <w:szCs w:val="18"/>
                <w:lang w:val="en-US"/>
              </w:rPr>
            </w:pPr>
            <w:r w:rsidRPr="00406DD0">
              <w:rPr>
                <w:rFonts w:cs="Arial"/>
                <w:sz w:val="18"/>
                <w:szCs w:val="18"/>
                <w:lang w:val="it-IT"/>
              </w:rPr>
              <w:t>1</w:t>
            </w:r>
            <w:r>
              <w:rPr>
                <w:rFonts w:cs="Arial"/>
                <w:sz w:val="18"/>
                <w:szCs w:val="18"/>
                <w:lang w:val="en-US"/>
              </w:rPr>
              <w:t>2</w:t>
            </w:r>
          </w:p>
        </w:tc>
        <w:tc>
          <w:tcPr>
            <w:tcW w:w="237" w:type="dxa"/>
          </w:tcPr>
          <w:p w:rsidR="00540057" w:rsidRDefault="00540057" w:rsidP="00F02221">
            <w:pPr>
              <w:spacing w:line="240" w:lineRule="auto"/>
              <w:ind w:right="-2"/>
              <w:rPr>
                <w:rFonts w:cs="Arial"/>
                <w:kern w:val="2"/>
                <w:sz w:val="18"/>
                <w:szCs w:val="18"/>
                <w:lang w:val="en-US"/>
              </w:rPr>
            </w:pPr>
          </w:p>
        </w:tc>
        <w:tc>
          <w:tcPr>
            <w:tcW w:w="1076" w:type="dxa"/>
            <w:tcBorders>
              <w:top w:val="single" w:sz="4" w:space="0" w:color="auto"/>
              <w:left w:val="nil"/>
              <w:bottom w:val="single" w:sz="4" w:space="0" w:color="auto"/>
              <w:right w:val="nil"/>
            </w:tcBorders>
            <w:vAlign w:val="center"/>
            <w:hideMark/>
          </w:tcPr>
          <w:p w:rsidR="00540057" w:rsidRDefault="00540057" w:rsidP="00F02221">
            <w:pPr>
              <w:spacing w:line="240" w:lineRule="auto"/>
              <w:ind w:right="-2"/>
              <w:rPr>
                <w:rFonts w:cs="Arial"/>
                <w:kern w:val="2"/>
                <w:sz w:val="18"/>
                <w:szCs w:val="18"/>
                <w:lang w:val="en-US"/>
              </w:rPr>
            </w:pPr>
            <w:r>
              <w:rPr>
                <w:rFonts w:cs="Arial"/>
                <w:sz w:val="18"/>
                <w:szCs w:val="18"/>
                <w:lang w:val="en-US"/>
              </w:rPr>
              <w:t>96</w:t>
            </w:r>
          </w:p>
        </w:tc>
        <w:tc>
          <w:tcPr>
            <w:tcW w:w="236" w:type="dxa"/>
            <w:vAlign w:val="center"/>
          </w:tcPr>
          <w:p w:rsidR="00540057" w:rsidRDefault="00540057" w:rsidP="005A3710">
            <w:pPr>
              <w:spacing w:line="240" w:lineRule="auto"/>
              <w:ind w:right="-2"/>
              <w:rPr>
                <w:rFonts w:cs="Arial"/>
                <w:kern w:val="2"/>
                <w:sz w:val="18"/>
                <w:szCs w:val="18"/>
                <w:lang w:val="en-US"/>
              </w:rPr>
            </w:pPr>
          </w:p>
        </w:tc>
        <w:tc>
          <w:tcPr>
            <w:tcW w:w="874" w:type="dxa"/>
            <w:tcBorders>
              <w:top w:val="single" w:sz="4" w:space="0" w:color="auto"/>
              <w:left w:val="nil"/>
              <w:bottom w:val="single" w:sz="4" w:space="0" w:color="auto"/>
              <w:right w:val="nil"/>
            </w:tcBorders>
            <w:vAlign w:val="center"/>
            <w:hideMark/>
          </w:tcPr>
          <w:p w:rsidR="00540057" w:rsidRDefault="00406DD0" w:rsidP="00F02221">
            <w:pPr>
              <w:spacing w:line="240" w:lineRule="auto"/>
              <w:ind w:right="-2"/>
              <w:rPr>
                <w:rFonts w:cs="Arial"/>
                <w:kern w:val="2"/>
                <w:sz w:val="18"/>
                <w:szCs w:val="18"/>
                <w:lang w:val="en-US"/>
              </w:rPr>
            </w:pPr>
            <w:proofErr w:type="spellStart"/>
            <w:r>
              <w:rPr>
                <w:rFonts w:cs="Arial"/>
                <w:sz w:val="18"/>
                <w:szCs w:val="18"/>
                <w:lang w:val="en-US"/>
              </w:rPr>
              <w:t>Ja</w:t>
            </w:r>
            <w:proofErr w:type="spellEnd"/>
          </w:p>
        </w:tc>
        <w:tc>
          <w:tcPr>
            <w:tcW w:w="237" w:type="dxa"/>
          </w:tcPr>
          <w:p w:rsidR="00540057" w:rsidRDefault="00540057" w:rsidP="005A3710">
            <w:pPr>
              <w:spacing w:line="240" w:lineRule="auto"/>
              <w:ind w:right="-2"/>
              <w:rPr>
                <w:rFonts w:cs="Arial"/>
                <w:kern w:val="2"/>
                <w:sz w:val="18"/>
                <w:szCs w:val="18"/>
                <w:lang w:val="en-US"/>
              </w:rPr>
            </w:pPr>
          </w:p>
        </w:tc>
        <w:tc>
          <w:tcPr>
            <w:tcW w:w="850" w:type="dxa"/>
            <w:tcBorders>
              <w:top w:val="single" w:sz="4" w:space="0" w:color="auto"/>
              <w:left w:val="nil"/>
              <w:bottom w:val="single" w:sz="4" w:space="0" w:color="auto"/>
              <w:right w:val="nil"/>
            </w:tcBorders>
            <w:vAlign w:val="center"/>
            <w:hideMark/>
          </w:tcPr>
          <w:p w:rsidR="00540057" w:rsidRPr="00406DD0" w:rsidRDefault="00406DD0" w:rsidP="00AE3998">
            <w:pPr>
              <w:spacing w:line="240" w:lineRule="auto"/>
              <w:rPr>
                <w:rFonts w:cs="Arial"/>
                <w:sz w:val="18"/>
                <w:szCs w:val="18"/>
                <w:lang w:val="en-US"/>
              </w:rPr>
            </w:pPr>
            <w:proofErr w:type="spellStart"/>
            <w:r>
              <w:rPr>
                <w:rFonts w:cs="Arial"/>
                <w:sz w:val="18"/>
                <w:szCs w:val="18"/>
                <w:lang w:val="en-US"/>
              </w:rPr>
              <w:t>Ja</w:t>
            </w:r>
            <w:proofErr w:type="spellEnd"/>
          </w:p>
        </w:tc>
      </w:tr>
      <w:tr w:rsidR="00540057" w:rsidTr="00AE3998">
        <w:trPr>
          <w:trHeight w:val="340"/>
        </w:trPr>
        <w:tc>
          <w:tcPr>
            <w:tcW w:w="249" w:type="dxa"/>
            <w:vAlign w:val="center"/>
          </w:tcPr>
          <w:p w:rsidR="00540057" w:rsidRDefault="00540057" w:rsidP="005A3710">
            <w:pPr>
              <w:spacing w:line="240" w:lineRule="auto"/>
              <w:ind w:right="-2"/>
              <w:rPr>
                <w:rFonts w:cs="Arial"/>
                <w:kern w:val="2"/>
                <w:sz w:val="18"/>
                <w:szCs w:val="18"/>
                <w:lang w:val="en-US"/>
              </w:rPr>
            </w:pPr>
          </w:p>
        </w:tc>
        <w:tc>
          <w:tcPr>
            <w:tcW w:w="1473" w:type="dxa"/>
            <w:tcBorders>
              <w:top w:val="single" w:sz="4" w:space="0" w:color="auto"/>
              <w:left w:val="nil"/>
              <w:bottom w:val="single" w:sz="4" w:space="0" w:color="auto"/>
              <w:right w:val="nil"/>
            </w:tcBorders>
            <w:vAlign w:val="center"/>
            <w:hideMark/>
          </w:tcPr>
          <w:p w:rsidR="00540057" w:rsidRDefault="00540057" w:rsidP="005A3710">
            <w:pPr>
              <w:spacing w:line="240" w:lineRule="auto"/>
              <w:ind w:right="-2"/>
              <w:rPr>
                <w:rFonts w:cs="Arial"/>
                <w:bCs/>
                <w:color w:val="262626"/>
                <w:kern w:val="2"/>
                <w:sz w:val="18"/>
                <w:szCs w:val="18"/>
                <w:lang w:val="en-US" w:eastAsia="de-DE"/>
              </w:rPr>
            </w:pPr>
            <w:r>
              <w:rPr>
                <w:rFonts w:cs="Arial"/>
                <w:bCs/>
                <w:color w:val="262626"/>
                <w:sz w:val="18"/>
                <w:szCs w:val="18"/>
                <w:lang w:val="en-US" w:eastAsia="de-DE"/>
              </w:rPr>
              <w:t>Intel</w:t>
            </w:r>
            <w:r>
              <w:rPr>
                <w:rFonts w:cs="Arial"/>
                <w:bCs/>
                <w:color w:val="262626"/>
                <w:sz w:val="18"/>
                <w:szCs w:val="18"/>
                <w:vertAlign w:val="superscript"/>
                <w:lang w:val="en-US" w:eastAsia="de-DE"/>
              </w:rPr>
              <w:t>®</w:t>
            </w:r>
            <w:r>
              <w:rPr>
                <w:rFonts w:cs="Arial"/>
                <w:bCs/>
                <w:color w:val="262626"/>
                <w:sz w:val="18"/>
                <w:szCs w:val="18"/>
                <w:lang w:val="en-US" w:eastAsia="de-DE"/>
              </w:rPr>
              <w:t xml:space="preserve"> Core™ i5-1145G7E</w:t>
            </w:r>
          </w:p>
        </w:tc>
        <w:tc>
          <w:tcPr>
            <w:tcW w:w="283" w:type="dxa"/>
            <w:vAlign w:val="center"/>
          </w:tcPr>
          <w:p w:rsidR="00540057" w:rsidRDefault="00540057" w:rsidP="005A3710">
            <w:pPr>
              <w:spacing w:line="240" w:lineRule="auto"/>
              <w:ind w:right="-2"/>
              <w:rPr>
                <w:rFonts w:cs="Arial"/>
                <w:kern w:val="2"/>
                <w:sz w:val="18"/>
                <w:szCs w:val="18"/>
                <w:lang w:val="en-US"/>
              </w:rPr>
            </w:pPr>
          </w:p>
        </w:tc>
        <w:tc>
          <w:tcPr>
            <w:tcW w:w="964" w:type="dxa"/>
            <w:tcBorders>
              <w:top w:val="single" w:sz="4" w:space="0" w:color="auto"/>
              <w:left w:val="nil"/>
              <w:bottom w:val="single" w:sz="4" w:space="0" w:color="auto"/>
              <w:right w:val="nil"/>
            </w:tcBorders>
            <w:vAlign w:val="center"/>
            <w:hideMark/>
          </w:tcPr>
          <w:p w:rsidR="00540057" w:rsidRDefault="00540057" w:rsidP="005A3710">
            <w:pPr>
              <w:spacing w:line="240" w:lineRule="auto"/>
              <w:ind w:right="-2"/>
              <w:rPr>
                <w:rFonts w:cs="Arial"/>
                <w:bCs/>
                <w:color w:val="262626"/>
                <w:kern w:val="2"/>
                <w:sz w:val="18"/>
                <w:szCs w:val="18"/>
                <w:lang w:val="en-US" w:eastAsia="de-DE"/>
              </w:rPr>
            </w:pPr>
            <w:r>
              <w:rPr>
                <w:rFonts w:cs="Arial"/>
                <w:bCs/>
                <w:color w:val="262626"/>
                <w:sz w:val="18"/>
                <w:szCs w:val="18"/>
                <w:lang w:val="en-US" w:eastAsia="de-DE"/>
              </w:rPr>
              <w:t>4/8</w:t>
            </w:r>
          </w:p>
        </w:tc>
        <w:tc>
          <w:tcPr>
            <w:tcW w:w="236" w:type="dxa"/>
            <w:vAlign w:val="center"/>
          </w:tcPr>
          <w:p w:rsidR="00540057" w:rsidRDefault="00540057" w:rsidP="005A3710">
            <w:pPr>
              <w:spacing w:line="240" w:lineRule="auto"/>
              <w:ind w:right="-2"/>
              <w:rPr>
                <w:rFonts w:cs="Arial"/>
                <w:bCs/>
                <w:color w:val="262626"/>
                <w:kern w:val="2"/>
                <w:sz w:val="18"/>
                <w:szCs w:val="18"/>
                <w:lang w:val="en-US" w:eastAsia="de-DE"/>
              </w:rPr>
            </w:pPr>
          </w:p>
        </w:tc>
        <w:tc>
          <w:tcPr>
            <w:tcW w:w="1530" w:type="dxa"/>
            <w:tcBorders>
              <w:top w:val="single" w:sz="4" w:space="0" w:color="auto"/>
              <w:left w:val="nil"/>
              <w:bottom w:val="single" w:sz="4" w:space="0" w:color="auto"/>
              <w:right w:val="nil"/>
            </w:tcBorders>
            <w:vAlign w:val="center"/>
            <w:hideMark/>
          </w:tcPr>
          <w:p w:rsidR="00540057" w:rsidRDefault="00540057" w:rsidP="005A3710">
            <w:pPr>
              <w:spacing w:line="240" w:lineRule="auto"/>
              <w:ind w:right="-2"/>
              <w:rPr>
                <w:rFonts w:cs="Arial"/>
                <w:bCs/>
                <w:color w:val="262626"/>
                <w:kern w:val="2"/>
                <w:sz w:val="18"/>
                <w:szCs w:val="18"/>
                <w:lang w:val="en-US" w:eastAsia="de-DE"/>
              </w:rPr>
            </w:pPr>
            <w:r>
              <w:rPr>
                <w:rFonts w:cs="Arial"/>
                <w:bCs/>
                <w:color w:val="262626"/>
                <w:sz w:val="18"/>
                <w:szCs w:val="18"/>
                <w:lang w:val="en-US" w:eastAsia="de-DE"/>
              </w:rPr>
              <w:t>2.6/1.5/1.1 (4.1)</w:t>
            </w:r>
          </w:p>
        </w:tc>
        <w:tc>
          <w:tcPr>
            <w:tcW w:w="236" w:type="dxa"/>
            <w:vAlign w:val="center"/>
          </w:tcPr>
          <w:p w:rsidR="00540057" w:rsidRDefault="00540057" w:rsidP="005A3710">
            <w:pPr>
              <w:spacing w:line="240" w:lineRule="auto"/>
              <w:ind w:right="-2"/>
              <w:rPr>
                <w:rFonts w:cs="Arial"/>
                <w:kern w:val="2"/>
                <w:sz w:val="18"/>
                <w:szCs w:val="18"/>
                <w:lang w:val="en-US"/>
              </w:rPr>
            </w:pPr>
          </w:p>
        </w:tc>
        <w:tc>
          <w:tcPr>
            <w:tcW w:w="794" w:type="dxa"/>
            <w:tcBorders>
              <w:top w:val="single" w:sz="4" w:space="0" w:color="auto"/>
              <w:left w:val="nil"/>
              <w:bottom w:val="single" w:sz="4" w:space="0" w:color="auto"/>
              <w:right w:val="nil"/>
            </w:tcBorders>
            <w:vAlign w:val="center"/>
            <w:hideMark/>
          </w:tcPr>
          <w:p w:rsidR="00540057" w:rsidRDefault="00540057" w:rsidP="00F02221">
            <w:pPr>
              <w:spacing w:line="240" w:lineRule="auto"/>
              <w:ind w:right="-2"/>
              <w:rPr>
                <w:rFonts w:cs="Arial"/>
                <w:bCs/>
                <w:color w:val="262626"/>
                <w:kern w:val="2"/>
                <w:sz w:val="18"/>
                <w:szCs w:val="18"/>
                <w:lang w:val="en-US" w:eastAsia="de-DE"/>
              </w:rPr>
            </w:pPr>
            <w:r>
              <w:rPr>
                <w:rFonts w:cs="Arial"/>
                <w:bCs/>
                <w:color w:val="262626"/>
                <w:sz w:val="18"/>
                <w:szCs w:val="18"/>
                <w:lang w:val="en-US" w:eastAsia="de-DE"/>
              </w:rPr>
              <w:t>8</w:t>
            </w:r>
          </w:p>
        </w:tc>
        <w:tc>
          <w:tcPr>
            <w:tcW w:w="237" w:type="dxa"/>
          </w:tcPr>
          <w:p w:rsidR="00540057" w:rsidRDefault="00540057" w:rsidP="00F02221">
            <w:pPr>
              <w:spacing w:line="240" w:lineRule="auto"/>
              <w:ind w:right="-2"/>
              <w:rPr>
                <w:rFonts w:cs="Arial"/>
                <w:bCs/>
                <w:color w:val="262626"/>
                <w:kern w:val="2"/>
                <w:sz w:val="18"/>
                <w:szCs w:val="18"/>
                <w:lang w:val="en-US" w:eastAsia="de-DE"/>
              </w:rPr>
            </w:pPr>
          </w:p>
        </w:tc>
        <w:tc>
          <w:tcPr>
            <w:tcW w:w="1076" w:type="dxa"/>
            <w:tcBorders>
              <w:top w:val="single" w:sz="4" w:space="0" w:color="auto"/>
              <w:left w:val="nil"/>
              <w:bottom w:val="single" w:sz="4" w:space="0" w:color="auto"/>
              <w:right w:val="nil"/>
            </w:tcBorders>
            <w:vAlign w:val="center"/>
            <w:hideMark/>
          </w:tcPr>
          <w:p w:rsidR="00540057" w:rsidRDefault="00540057" w:rsidP="00F02221">
            <w:pPr>
              <w:spacing w:line="240" w:lineRule="auto"/>
              <w:ind w:right="-2"/>
              <w:rPr>
                <w:rFonts w:cs="Arial"/>
                <w:bCs/>
                <w:color w:val="262626"/>
                <w:kern w:val="2"/>
                <w:sz w:val="18"/>
                <w:szCs w:val="18"/>
                <w:lang w:val="en-US" w:eastAsia="de-DE"/>
              </w:rPr>
            </w:pPr>
            <w:r>
              <w:rPr>
                <w:rFonts w:cs="Arial"/>
                <w:bCs/>
                <w:color w:val="262626"/>
                <w:sz w:val="18"/>
                <w:szCs w:val="18"/>
                <w:lang w:val="en-US" w:eastAsia="de-DE"/>
              </w:rPr>
              <w:t>80</w:t>
            </w:r>
          </w:p>
        </w:tc>
        <w:tc>
          <w:tcPr>
            <w:tcW w:w="236" w:type="dxa"/>
            <w:vAlign w:val="center"/>
          </w:tcPr>
          <w:p w:rsidR="00540057" w:rsidRDefault="00540057" w:rsidP="005A3710">
            <w:pPr>
              <w:spacing w:line="240" w:lineRule="auto"/>
              <w:ind w:right="-2"/>
              <w:rPr>
                <w:rFonts w:cs="Arial"/>
                <w:bCs/>
                <w:color w:val="262626"/>
                <w:kern w:val="2"/>
                <w:sz w:val="18"/>
                <w:szCs w:val="18"/>
                <w:lang w:val="en-US" w:eastAsia="de-DE"/>
              </w:rPr>
            </w:pPr>
          </w:p>
        </w:tc>
        <w:tc>
          <w:tcPr>
            <w:tcW w:w="874" w:type="dxa"/>
            <w:tcBorders>
              <w:top w:val="single" w:sz="4" w:space="0" w:color="auto"/>
              <w:left w:val="nil"/>
              <w:bottom w:val="single" w:sz="4" w:space="0" w:color="auto"/>
              <w:right w:val="nil"/>
            </w:tcBorders>
            <w:vAlign w:val="center"/>
            <w:hideMark/>
          </w:tcPr>
          <w:p w:rsidR="00540057" w:rsidRDefault="00540057" w:rsidP="00F02221">
            <w:pPr>
              <w:spacing w:line="240" w:lineRule="auto"/>
              <w:ind w:right="-2"/>
              <w:rPr>
                <w:rFonts w:cs="Arial"/>
                <w:bCs/>
                <w:color w:val="262626"/>
                <w:kern w:val="2"/>
                <w:sz w:val="18"/>
                <w:szCs w:val="18"/>
                <w:lang w:val="en-US" w:eastAsia="de-DE"/>
              </w:rPr>
            </w:pPr>
            <w:r>
              <w:rPr>
                <w:rFonts w:cs="Arial"/>
                <w:sz w:val="18"/>
                <w:szCs w:val="18"/>
                <w:lang w:val="en-US"/>
              </w:rPr>
              <w:t>-</w:t>
            </w:r>
          </w:p>
        </w:tc>
        <w:tc>
          <w:tcPr>
            <w:tcW w:w="237" w:type="dxa"/>
          </w:tcPr>
          <w:p w:rsidR="00540057" w:rsidRDefault="00540057" w:rsidP="005A3710">
            <w:pPr>
              <w:spacing w:line="240" w:lineRule="auto"/>
              <w:ind w:right="-2"/>
              <w:rPr>
                <w:rFonts w:cs="Arial"/>
                <w:kern w:val="2"/>
                <w:sz w:val="18"/>
                <w:szCs w:val="18"/>
                <w:lang w:val="en-US"/>
              </w:rPr>
            </w:pPr>
          </w:p>
        </w:tc>
        <w:tc>
          <w:tcPr>
            <w:tcW w:w="850" w:type="dxa"/>
            <w:tcBorders>
              <w:top w:val="single" w:sz="4" w:space="0" w:color="auto"/>
              <w:left w:val="nil"/>
              <w:bottom w:val="single" w:sz="4" w:space="0" w:color="auto"/>
              <w:right w:val="nil"/>
            </w:tcBorders>
            <w:vAlign w:val="center"/>
          </w:tcPr>
          <w:p w:rsidR="00540057" w:rsidRPr="00406DD0" w:rsidRDefault="00EF38E3" w:rsidP="00AE3998">
            <w:pPr>
              <w:spacing w:line="240" w:lineRule="auto"/>
              <w:rPr>
                <w:rFonts w:cs="Arial"/>
                <w:sz w:val="18"/>
                <w:szCs w:val="18"/>
                <w:lang w:val="en-US"/>
              </w:rPr>
            </w:pPr>
            <w:r>
              <w:rPr>
                <w:rFonts w:cs="Arial"/>
                <w:sz w:val="18"/>
                <w:szCs w:val="18"/>
                <w:lang w:val="en-US"/>
              </w:rPr>
              <w:t>-</w:t>
            </w:r>
          </w:p>
        </w:tc>
      </w:tr>
      <w:tr w:rsidR="00540057" w:rsidTr="00AE3998">
        <w:trPr>
          <w:trHeight w:val="340"/>
        </w:trPr>
        <w:tc>
          <w:tcPr>
            <w:tcW w:w="249" w:type="dxa"/>
            <w:vAlign w:val="center"/>
          </w:tcPr>
          <w:p w:rsidR="00540057" w:rsidRDefault="00540057" w:rsidP="005A3710">
            <w:pPr>
              <w:spacing w:line="240" w:lineRule="auto"/>
              <w:ind w:right="-2"/>
              <w:rPr>
                <w:rFonts w:cs="Arial"/>
                <w:kern w:val="2"/>
                <w:sz w:val="18"/>
                <w:szCs w:val="18"/>
                <w:lang w:val="en-US"/>
              </w:rPr>
            </w:pPr>
          </w:p>
        </w:tc>
        <w:tc>
          <w:tcPr>
            <w:tcW w:w="1473" w:type="dxa"/>
            <w:tcBorders>
              <w:top w:val="single" w:sz="4" w:space="0" w:color="auto"/>
              <w:left w:val="nil"/>
              <w:bottom w:val="single" w:sz="4" w:space="0" w:color="auto"/>
              <w:right w:val="nil"/>
            </w:tcBorders>
            <w:vAlign w:val="center"/>
            <w:hideMark/>
          </w:tcPr>
          <w:p w:rsidR="00540057" w:rsidRDefault="00540057" w:rsidP="005A3710">
            <w:pPr>
              <w:spacing w:line="240" w:lineRule="auto"/>
              <w:ind w:right="-2"/>
              <w:rPr>
                <w:rFonts w:cs="Arial"/>
                <w:bCs/>
                <w:color w:val="262626"/>
                <w:kern w:val="2"/>
                <w:sz w:val="18"/>
                <w:szCs w:val="18"/>
                <w:lang w:val="en-US" w:eastAsia="de-DE"/>
              </w:rPr>
            </w:pPr>
            <w:r>
              <w:rPr>
                <w:rFonts w:cs="Arial"/>
                <w:bCs/>
                <w:color w:val="262626"/>
                <w:sz w:val="18"/>
                <w:szCs w:val="18"/>
                <w:lang w:val="en-US" w:eastAsia="de-DE"/>
              </w:rPr>
              <w:t>Intel</w:t>
            </w:r>
            <w:r>
              <w:rPr>
                <w:rFonts w:cs="Arial"/>
                <w:bCs/>
                <w:color w:val="262626"/>
                <w:sz w:val="18"/>
                <w:szCs w:val="18"/>
                <w:vertAlign w:val="superscript"/>
                <w:lang w:val="en-US" w:eastAsia="de-DE"/>
              </w:rPr>
              <w:t>®</w:t>
            </w:r>
            <w:r>
              <w:rPr>
                <w:rFonts w:cs="Arial"/>
                <w:bCs/>
                <w:color w:val="262626"/>
                <w:sz w:val="18"/>
                <w:szCs w:val="18"/>
                <w:lang w:val="en-US" w:eastAsia="de-DE"/>
              </w:rPr>
              <w:t xml:space="preserve"> Core™ i5-1145GRE</w:t>
            </w:r>
          </w:p>
        </w:tc>
        <w:tc>
          <w:tcPr>
            <w:tcW w:w="283" w:type="dxa"/>
            <w:vAlign w:val="center"/>
          </w:tcPr>
          <w:p w:rsidR="00540057" w:rsidRDefault="00540057" w:rsidP="005A3710">
            <w:pPr>
              <w:spacing w:line="240" w:lineRule="auto"/>
              <w:ind w:right="-2"/>
              <w:rPr>
                <w:rFonts w:cs="Arial"/>
                <w:kern w:val="2"/>
                <w:sz w:val="18"/>
                <w:szCs w:val="18"/>
                <w:lang w:val="en-US"/>
              </w:rPr>
            </w:pPr>
          </w:p>
        </w:tc>
        <w:tc>
          <w:tcPr>
            <w:tcW w:w="964" w:type="dxa"/>
            <w:tcBorders>
              <w:top w:val="single" w:sz="4" w:space="0" w:color="auto"/>
              <w:left w:val="nil"/>
              <w:bottom w:val="single" w:sz="4" w:space="0" w:color="auto"/>
              <w:right w:val="nil"/>
            </w:tcBorders>
            <w:vAlign w:val="center"/>
            <w:hideMark/>
          </w:tcPr>
          <w:p w:rsidR="00540057" w:rsidRDefault="00540057" w:rsidP="005A3710">
            <w:pPr>
              <w:spacing w:line="240" w:lineRule="auto"/>
              <w:ind w:right="-2"/>
              <w:rPr>
                <w:rFonts w:cs="Arial"/>
                <w:bCs/>
                <w:color w:val="262626"/>
                <w:kern w:val="2"/>
                <w:sz w:val="18"/>
                <w:szCs w:val="18"/>
                <w:lang w:val="en-US" w:eastAsia="de-DE"/>
              </w:rPr>
            </w:pPr>
            <w:r>
              <w:rPr>
                <w:rFonts w:cs="Arial"/>
                <w:bCs/>
                <w:color w:val="262626"/>
                <w:sz w:val="18"/>
                <w:szCs w:val="18"/>
                <w:lang w:val="en-US" w:eastAsia="de-DE"/>
              </w:rPr>
              <w:t>4/8</w:t>
            </w:r>
          </w:p>
        </w:tc>
        <w:tc>
          <w:tcPr>
            <w:tcW w:w="236" w:type="dxa"/>
            <w:vAlign w:val="center"/>
          </w:tcPr>
          <w:p w:rsidR="00540057" w:rsidRDefault="00540057" w:rsidP="005A3710">
            <w:pPr>
              <w:spacing w:line="240" w:lineRule="auto"/>
              <w:ind w:right="-2"/>
              <w:rPr>
                <w:rFonts w:cs="Arial"/>
                <w:bCs/>
                <w:color w:val="262626"/>
                <w:kern w:val="2"/>
                <w:sz w:val="18"/>
                <w:szCs w:val="18"/>
                <w:lang w:val="en-US" w:eastAsia="de-DE"/>
              </w:rPr>
            </w:pPr>
          </w:p>
        </w:tc>
        <w:tc>
          <w:tcPr>
            <w:tcW w:w="1530" w:type="dxa"/>
            <w:tcBorders>
              <w:top w:val="single" w:sz="4" w:space="0" w:color="auto"/>
              <w:left w:val="nil"/>
              <w:bottom w:val="single" w:sz="4" w:space="0" w:color="auto"/>
              <w:right w:val="nil"/>
            </w:tcBorders>
            <w:vAlign w:val="center"/>
            <w:hideMark/>
          </w:tcPr>
          <w:p w:rsidR="00540057" w:rsidRDefault="00540057" w:rsidP="005A3710">
            <w:pPr>
              <w:spacing w:line="240" w:lineRule="auto"/>
              <w:ind w:right="-2"/>
              <w:rPr>
                <w:rFonts w:cs="Arial"/>
                <w:bCs/>
                <w:color w:val="262626"/>
                <w:kern w:val="2"/>
                <w:sz w:val="18"/>
                <w:szCs w:val="18"/>
                <w:lang w:val="en-US" w:eastAsia="de-DE"/>
              </w:rPr>
            </w:pPr>
            <w:r>
              <w:rPr>
                <w:rFonts w:cs="Arial"/>
                <w:bCs/>
                <w:color w:val="262626"/>
                <w:sz w:val="18"/>
                <w:szCs w:val="18"/>
                <w:lang w:val="en-US" w:eastAsia="de-DE"/>
              </w:rPr>
              <w:t>2.6/1.5/1.1 (4.1)</w:t>
            </w:r>
          </w:p>
        </w:tc>
        <w:tc>
          <w:tcPr>
            <w:tcW w:w="236" w:type="dxa"/>
            <w:vAlign w:val="center"/>
          </w:tcPr>
          <w:p w:rsidR="00540057" w:rsidRDefault="00540057" w:rsidP="005A3710">
            <w:pPr>
              <w:spacing w:line="240" w:lineRule="auto"/>
              <w:ind w:right="-2"/>
              <w:rPr>
                <w:rFonts w:cs="Arial"/>
                <w:kern w:val="2"/>
                <w:sz w:val="18"/>
                <w:szCs w:val="18"/>
                <w:lang w:val="en-US"/>
              </w:rPr>
            </w:pPr>
          </w:p>
        </w:tc>
        <w:tc>
          <w:tcPr>
            <w:tcW w:w="794" w:type="dxa"/>
            <w:tcBorders>
              <w:top w:val="single" w:sz="4" w:space="0" w:color="auto"/>
              <w:left w:val="nil"/>
              <w:bottom w:val="single" w:sz="4" w:space="0" w:color="auto"/>
              <w:right w:val="nil"/>
            </w:tcBorders>
            <w:vAlign w:val="center"/>
            <w:hideMark/>
          </w:tcPr>
          <w:p w:rsidR="00540057" w:rsidRDefault="00540057" w:rsidP="00F02221">
            <w:pPr>
              <w:spacing w:line="240" w:lineRule="auto"/>
              <w:ind w:right="-2"/>
              <w:rPr>
                <w:rFonts w:cs="Arial"/>
                <w:bCs/>
                <w:color w:val="262626"/>
                <w:kern w:val="2"/>
                <w:sz w:val="18"/>
                <w:szCs w:val="18"/>
                <w:lang w:val="en-US" w:eastAsia="de-DE"/>
              </w:rPr>
            </w:pPr>
            <w:r>
              <w:rPr>
                <w:rFonts w:cs="Arial"/>
                <w:bCs/>
                <w:color w:val="262626"/>
                <w:sz w:val="18"/>
                <w:szCs w:val="18"/>
                <w:lang w:val="en-US" w:eastAsia="de-DE"/>
              </w:rPr>
              <w:t>8</w:t>
            </w:r>
          </w:p>
        </w:tc>
        <w:tc>
          <w:tcPr>
            <w:tcW w:w="237" w:type="dxa"/>
          </w:tcPr>
          <w:p w:rsidR="00540057" w:rsidRDefault="00540057" w:rsidP="00F02221">
            <w:pPr>
              <w:spacing w:line="240" w:lineRule="auto"/>
              <w:ind w:right="-2"/>
              <w:rPr>
                <w:rFonts w:cs="Arial"/>
                <w:bCs/>
                <w:color w:val="262626"/>
                <w:kern w:val="2"/>
                <w:sz w:val="18"/>
                <w:szCs w:val="18"/>
                <w:lang w:val="en-US" w:eastAsia="de-DE"/>
              </w:rPr>
            </w:pPr>
          </w:p>
        </w:tc>
        <w:tc>
          <w:tcPr>
            <w:tcW w:w="1076" w:type="dxa"/>
            <w:tcBorders>
              <w:top w:val="single" w:sz="4" w:space="0" w:color="auto"/>
              <w:left w:val="nil"/>
              <w:bottom w:val="single" w:sz="4" w:space="0" w:color="auto"/>
              <w:right w:val="nil"/>
            </w:tcBorders>
            <w:vAlign w:val="center"/>
            <w:hideMark/>
          </w:tcPr>
          <w:p w:rsidR="00540057" w:rsidRDefault="00540057" w:rsidP="00F02221">
            <w:pPr>
              <w:spacing w:line="240" w:lineRule="auto"/>
              <w:ind w:right="-2"/>
              <w:rPr>
                <w:rFonts w:cs="Arial"/>
                <w:bCs/>
                <w:color w:val="262626"/>
                <w:kern w:val="2"/>
                <w:sz w:val="18"/>
                <w:szCs w:val="18"/>
                <w:lang w:val="en-US" w:eastAsia="de-DE"/>
              </w:rPr>
            </w:pPr>
            <w:r>
              <w:rPr>
                <w:rFonts w:cs="Arial"/>
                <w:bCs/>
                <w:color w:val="262626"/>
                <w:sz w:val="18"/>
                <w:szCs w:val="18"/>
                <w:lang w:val="en-US" w:eastAsia="de-DE"/>
              </w:rPr>
              <w:t>80</w:t>
            </w:r>
          </w:p>
        </w:tc>
        <w:tc>
          <w:tcPr>
            <w:tcW w:w="236" w:type="dxa"/>
            <w:vAlign w:val="center"/>
          </w:tcPr>
          <w:p w:rsidR="00540057" w:rsidRDefault="00540057" w:rsidP="005A3710">
            <w:pPr>
              <w:spacing w:line="240" w:lineRule="auto"/>
              <w:ind w:right="-2"/>
              <w:rPr>
                <w:rFonts w:cs="Arial"/>
                <w:bCs/>
                <w:color w:val="262626"/>
                <w:kern w:val="2"/>
                <w:sz w:val="18"/>
                <w:szCs w:val="18"/>
                <w:lang w:val="en-US" w:eastAsia="de-DE"/>
              </w:rPr>
            </w:pPr>
          </w:p>
        </w:tc>
        <w:tc>
          <w:tcPr>
            <w:tcW w:w="874" w:type="dxa"/>
            <w:tcBorders>
              <w:top w:val="single" w:sz="4" w:space="0" w:color="auto"/>
              <w:left w:val="nil"/>
              <w:bottom w:val="single" w:sz="4" w:space="0" w:color="auto"/>
              <w:right w:val="nil"/>
            </w:tcBorders>
            <w:vAlign w:val="center"/>
            <w:hideMark/>
          </w:tcPr>
          <w:p w:rsidR="00540057" w:rsidRDefault="00406DD0" w:rsidP="00F02221">
            <w:pPr>
              <w:spacing w:line="240" w:lineRule="auto"/>
              <w:ind w:right="-2"/>
              <w:rPr>
                <w:rFonts w:cs="Arial"/>
                <w:bCs/>
                <w:color w:val="262626"/>
                <w:kern w:val="2"/>
                <w:sz w:val="18"/>
                <w:szCs w:val="18"/>
                <w:lang w:val="en-US" w:eastAsia="de-DE"/>
              </w:rPr>
            </w:pPr>
            <w:proofErr w:type="spellStart"/>
            <w:r>
              <w:rPr>
                <w:rFonts w:cs="Arial"/>
                <w:sz w:val="18"/>
                <w:szCs w:val="18"/>
                <w:lang w:val="en-US"/>
              </w:rPr>
              <w:t>Ja</w:t>
            </w:r>
            <w:proofErr w:type="spellEnd"/>
          </w:p>
        </w:tc>
        <w:tc>
          <w:tcPr>
            <w:tcW w:w="237" w:type="dxa"/>
          </w:tcPr>
          <w:p w:rsidR="00540057" w:rsidRDefault="00540057" w:rsidP="005A3710">
            <w:pPr>
              <w:spacing w:line="240" w:lineRule="auto"/>
              <w:ind w:right="-2"/>
              <w:rPr>
                <w:rFonts w:cs="Arial"/>
                <w:kern w:val="2"/>
                <w:sz w:val="18"/>
                <w:szCs w:val="18"/>
                <w:lang w:val="en-US"/>
              </w:rPr>
            </w:pPr>
          </w:p>
        </w:tc>
        <w:tc>
          <w:tcPr>
            <w:tcW w:w="850" w:type="dxa"/>
            <w:tcBorders>
              <w:top w:val="single" w:sz="4" w:space="0" w:color="auto"/>
              <w:left w:val="nil"/>
              <w:bottom w:val="single" w:sz="4" w:space="0" w:color="auto"/>
              <w:right w:val="nil"/>
            </w:tcBorders>
            <w:vAlign w:val="center"/>
            <w:hideMark/>
          </w:tcPr>
          <w:p w:rsidR="00540057" w:rsidRPr="00406DD0" w:rsidRDefault="00406DD0" w:rsidP="00AE3998">
            <w:pPr>
              <w:spacing w:line="240" w:lineRule="auto"/>
              <w:rPr>
                <w:rFonts w:cs="Arial"/>
                <w:sz w:val="18"/>
                <w:szCs w:val="18"/>
                <w:lang w:val="en-US"/>
              </w:rPr>
            </w:pPr>
            <w:proofErr w:type="spellStart"/>
            <w:r>
              <w:rPr>
                <w:rFonts w:cs="Arial"/>
                <w:sz w:val="18"/>
                <w:szCs w:val="18"/>
                <w:lang w:val="en-US"/>
              </w:rPr>
              <w:t>Ja</w:t>
            </w:r>
            <w:proofErr w:type="spellEnd"/>
          </w:p>
        </w:tc>
      </w:tr>
      <w:tr w:rsidR="00540057" w:rsidTr="00AE3998">
        <w:trPr>
          <w:trHeight w:val="340"/>
        </w:trPr>
        <w:tc>
          <w:tcPr>
            <w:tcW w:w="249" w:type="dxa"/>
            <w:vAlign w:val="center"/>
          </w:tcPr>
          <w:p w:rsidR="00540057" w:rsidRDefault="00540057" w:rsidP="005A3710">
            <w:pPr>
              <w:spacing w:line="240" w:lineRule="auto"/>
              <w:ind w:right="-2"/>
              <w:rPr>
                <w:rFonts w:cs="Arial"/>
                <w:kern w:val="2"/>
                <w:sz w:val="18"/>
                <w:szCs w:val="18"/>
                <w:lang w:val="en-US"/>
              </w:rPr>
            </w:pPr>
          </w:p>
        </w:tc>
        <w:tc>
          <w:tcPr>
            <w:tcW w:w="1473" w:type="dxa"/>
            <w:tcBorders>
              <w:top w:val="single" w:sz="4" w:space="0" w:color="auto"/>
              <w:left w:val="nil"/>
              <w:bottom w:val="single" w:sz="4" w:space="0" w:color="auto"/>
              <w:right w:val="nil"/>
            </w:tcBorders>
            <w:vAlign w:val="center"/>
            <w:hideMark/>
          </w:tcPr>
          <w:p w:rsidR="00540057" w:rsidRDefault="00540057" w:rsidP="005A3710">
            <w:pPr>
              <w:spacing w:line="240" w:lineRule="auto"/>
              <w:ind w:right="-2"/>
              <w:rPr>
                <w:rFonts w:cs="Arial"/>
                <w:bCs/>
                <w:color w:val="262626"/>
                <w:kern w:val="2"/>
                <w:sz w:val="18"/>
                <w:szCs w:val="18"/>
                <w:lang w:val="en-US" w:eastAsia="de-DE"/>
              </w:rPr>
            </w:pPr>
            <w:r>
              <w:rPr>
                <w:rFonts w:cs="Arial"/>
                <w:bCs/>
                <w:color w:val="262626"/>
                <w:sz w:val="18"/>
                <w:szCs w:val="18"/>
                <w:lang w:val="en-US" w:eastAsia="de-DE"/>
              </w:rPr>
              <w:t>Intel</w:t>
            </w:r>
            <w:r>
              <w:rPr>
                <w:rFonts w:cs="Arial"/>
                <w:bCs/>
                <w:color w:val="262626"/>
                <w:sz w:val="18"/>
                <w:szCs w:val="18"/>
                <w:vertAlign w:val="superscript"/>
                <w:lang w:val="en-US" w:eastAsia="de-DE"/>
              </w:rPr>
              <w:t>®</w:t>
            </w:r>
            <w:r>
              <w:rPr>
                <w:rFonts w:cs="Arial"/>
                <w:bCs/>
                <w:color w:val="262626"/>
                <w:sz w:val="18"/>
                <w:szCs w:val="18"/>
                <w:lang w:val="en-US" w:eastAsia="de-DE"/>
              </w:rPr>
              <w:t xml:space="preserve"> Core™ i3-1115G4E</w:t>
            </w:r>
          </w:p>
        </w:tc>
        <w:tc>
          <w:tcPr>
            <w:tcW w:w="283" w:type="dxa"/>
            <w:vAlign w:val="center"/>
          </w:tcPr>
          <w:p w:rsidR="00540057" w:rsidRDefault="00540057" w:rsidP="005A3710">
            <w:pPr>
              <w:spacing w:line="240" w:lineRule="auto"/>
              <w:ind w:right="-2"/>
              <w:rPr>
                <w:rFonts w:cs="Arial"/>
                <w:kern w:val="2"/>
                <w:sz w:val="18"/>
                <w:szCs w:val="18"/>
                <w:lang w:val="en-US"/>
              </w:rPr>
            </w:pPr>
          </w:p>
        </w:tc>
        <w:tc>
          <w:tcPr>
            <w:tcW w:w="964" w:type="dxa"/>
            <w:tcBorders>
              <w:top w:val="single" w:sz="4" w:space="0" w:color="auto"/>
              <w:left w:val="nil"/>
              <w:bottom w:val="single" w:sz="4" w:space="0" w:color="auto"/>
              <w:right w:val="nil"/>
            </w:tcBorders>
            <w:vAlign w:val="center"/>
            <w:hideMark/>
          </w:tcPr>
          <w:p w:rsidR="00540057" w:rsidRDefault="00540057" w:rsidP="005A3710">
            <w:pPr>
              <w:spacing w:line="240" w:lineRule="auto"/>
              <w:ind w:right="-2"/>
              <w:rPr>
                <w:rFonts w:cs="Arial"/>
                <w:bCs/>
                <w:color w:val="262626"/>
                <w:kern w:val="2"/>
                <w:sz w:val="18"/>
                <w:szCs w:val="18"/>
                <w:lang w:val="en-US" w:eastAsia="de-DE"/>
              </w:rPr>
            </w:pPr>
            <w:r>
              <w:rPr>
                <w:rFonts w:cs="Arial"/>
                <w:bCs/>
                <w:color w:val="262626"/>
                <w:sz w:val="18"/>
                <w:szCs w:val="18"/>
                <w:lang w:val="en-US" w:eastAsia="de-DE"/>
              </w:rPr>
              <w:t>2/4</w:t>
            </w:r>
          </w:p>
        </w:tc>
        <w:tc>
          <w:tcPr>
            <w:tcW w:w="236" w:type="dxa"/>
            <w:vAlign w:val="center"/>
          </w:tcPr>
          <w:p w:rsidR="00540057" w:rsidRDefault="00540057" w:rsidP="005A3710">
            <w:pPr>
              <w:spacing w:line="240" w:lineRule="auto"/>
              <w:ind w:right="-2"/>
              <w:rPr>
                <w:rFonts w:cs="Arial"/>
                <w:bCs/>
                <w:color w:val="262626"/>
                <w:kern w:val="2"/>
                <w:sz w:val="18"/>
                <w:szCs w:val="18"/>
                <w:lang w:val="en-US" w:eastAsia="de-DE"/>
              </w:rPr>
            </w:pPr>
          </w:p>
        </w:tc>
        <w:tc>
          <w:tcPr>
            <w:tcW w:w="1530" w:type="dxa"/>
            <w:tcBorders>
              <w:top w:val="single" w:sz="4" w:space="0" w:color="auto"/>
              <w:left w:val="nil"/>
              <w:bottom w:val="single" w:sz="4" w:space="0" w:color="auto"/>
              <w:right w:val="nil"/>
            </w:tcBorders>
            <w:vAlign w:val="center"/>
            <w:hideMark/>
          </w:tcPr>
          <w:p w:rsidR="00540057" w:rsidRDefault="00540057" w:rsidP="005A3710">
            <w:pPr>
              <w:spacing w:line="240" w:lineRule="auto"/>
              <w:ind w:right="-2"/>
              <w:rPr>
                <w:rFonts w:cs="Arial"/>
                <w:bCs/>
                <w:color w:val="262626"/>
                <w:kern w:val="2"/>
                <w:sz w:val="18"/>
                <w:szCs w:val="18"/>
                <w:lang w:val="en-US" w:eastAsia="de-DE"/>
              </w:rPr>
            </w:pPr>
            <w:r>
              <w:rPr>
                <w:rFonts w:cs="Arial"/>
                <w:bCs/>
                <w:color w:val="262626"/>
                <w:sz w:val="18"/>
                <w:szCs w:val="18"/>
                <w:lang w:val="en-US" w:eastAsia="de-DE"/>
              </w:rPr>
              <w:t>3.0/2.2/1.7 (3.9)</w:t>
            </w:r>
          </w:p>
        </w:tc>
        <w:tc>
          <w:tcPr>
            <w:tcW w:w="236" w:type="dxa"/>
            <w:vAlign w:val="center"/>
          </w:tcPr>
          <w:p w:rsidR="00540057" w:rsidRDefault="00540057" w:rsidP="005A3710">
            <w:pPr>
              <w:spacing w:line="240" w:lineRule="auto"/>
              <w:ind w:right="-2"/>
              <w:rPr>
                <w:rFonts w:cs="Arial"/>
                <w:kern w:val="2"/>
                <w:sz w:val="18"/>
                <w:szCs w:val="18"/>
                <w:lang w:val="en-US"/>
              </w:rPr>
            </w:pPr>
          </w:p>
        </w:tc>
        <w:tc>
          <w:tcPr>
            <w:tcW w:w="794" w:type="dxa"/>
            <w:tcBorders>
              <w:top w:val="single" w:sz="4" w:space="0" w:color="auto"/>
              <w:left w:val="nil"/>
              <w:bottom w:val="single" w:sz="4" w:space="0" w:color="auto"/>
              <w:right w:val="nil"/>
            </w:tcBorders>
            <w:vAlign w:val="center"/>
            <w:hideMark/>
          </w:tcPr>
          <w:p w:rsidR="00540057" w:rsidRDefault="00540057" w:rsidP="00F02221">
            <w:pPr>
              <w:spacing w:line="240" w:lineRule="auto"/>
              <w:ind w:right="-2"/>
              <w:rPr>
                <w:rFonts w:cs="Arial"/>
                <w:bCs/>
                <w:color w:val="262626"/>
                <w:kern w:val="2"/>
                <w:sz w:val="18"/>
                <w:szCs w:val="18"/>
                <w:lang w:val="en-US" w:eastAsia="de-DE"/>
              </w:rPr>
            </w:pPr>
            <w:r>
              <w:rPr>
                <w:rFonts w:cs="Arial"/>
                <w:bCs/>
                <w:color w:val="262626"/>
                <w:sz w:val="18"/>
                <w:szCs w:val="18"/>
                <w:lang w:val="en-US" w:eastAsia="de-DE"/>
              </w:rPr>
              <w:t>6</w:t>
            </w:r>
          </w:p>
        </w:tc>
        <w:tc>
          <w:tcPr>
            <w:tcW w:w="237" w:type="dxa"/>
          </w:tcPr>
          <w:p w:rsidR="00540057" w:rsidRDefault="00540057" w:rsidP="00F02221">
            <w:pPr>
              <w:spacing w:line="240" w:lineRule="auto"/>
              <w:ind w:right="-2"/>
              <w:rPr>
                <w:rFonts w:cs="Arial"/>
                <w:bCs/>
                <w:color w:val="262626"/>
                <w:kern w:val="2"/>
                <w:sz w:val="18"/>
                <w:szCs w:val="18"/>
                <w:lang w:val="en-US" w:eastAsia="de-DE"/>
              </w:rPr>
            </w:pPr>
          </w:p>
        </w:tc>
        <w:tc>
          <w:tcPr>
            <w:tcW w:w="1076" w:type="dxa"/>
            <w:tcBorders>
              <w:top w:val="single" w:sz="4" w:space="0" w:color="auto"/>
              <w:left w:val="nil"/>
              <w:bottom w:val="single" w:sz="4" w:space="0" w:color="auto"/>
              <w:right w:val="nil"/>
            </w:tcBorders>
            <w:vAlign w:val="center"/>
            <w:hideMark/>
          </w:tcPr>
          <w:p w:rsidR="00540057" w:rsidRDefault="00540057" w:rsidP="00F02221">
            <w:pPr>
              <w:spacing w:line="240" w:lineRule="auto"/>
              <w:ind w:right="-2"/>
              <w:rPr>
                <w:rFonts w:cs="Arial"/>
                <w:bCs/>
                <w:color w:val="262626"/>
                <w:kern w:val="2"/>
                <w:sz w:val="18"/>
                <w:szCs w:val="18"/>
                <w:lang w:val="en-US" w:eastAsia="de-DE"/>
              </w:rPr>
            </w:pPr>
            <w:r>
              <w:rPr>
                <w:rFonts w:cs="Arial"/>
                <w:bCs/>
                <w:color w:val="262626"/>
                <w:sz w:val="18"/>
                <w:szCs w:val="18"/>
                <w:lang w:val="en-US" w:eastAsia="de-DE"/>
              </w:rPr>
              <w:t>48</w:t>
            </w:r>
          </w:p>
        </w:tc>
        <w:tc>
          <w:tcPr>
            <w:tcW w:w="236" w:type="dxa"/>
            <w:vAlign w:val="center"/>
          </w:tcPr>
          <w:p w:rsidR="00540057" w:rsidRDefault="00540057" w:rsidP="005A3710">
            <w:pPr>
              <w:spacing w:line="240" w:lineRule="auto"/>
              <w:ind w:right="-2"/>
              <w:rPr>
                <w:rFonts w:cs="Arial"/>
                <w:bCs/>
                <w:color w:val="262626"/>
                <w:kern w:val="2"/>
                <w:sz w:val="18"/>
                <w:szCs w:val="18"/>
                <w:lang w:val="en-US" w:eastAsia="de-DE"/>
              </w:rPr>
            </w:pPr>
          </w:p>
        </w:tc>
        <w:tc>
          <w:tcPr>
            <w:tcW w:w="874" w:type="dxa"/>
            <w:tcBorders>
              <w:top w:val="single" w:sz="4" w:space="0" w:color="auto"/>
              <w:left w:val="nil"/>
              <w:bottom w:val="single" w:sz="4" w:space="0" w:color="auto"/>
              <w:right w:val="nil"/>
            </w:tcBorders>
            <w:vAlign w:val="center"/>
            <w:hideMark/>
          </w:tcPr>
          <w:p w:rsidR="00540057" w:rsidRDefault="00540057" w:rsidP="00F02221">
            <w:pPr>
              <w:spacing w:line="240" w:lineRule="auto"/>
              <w:ind w:right="-2"/>
              <w:rPr>
                <w:rFonts w:cs="Arial"/>
                <w:bCs/>
                <w:color w:val="262626"/>
                <w:kern w:val="2"/>
                <w:sz w:val="18"/>
                <w:szCs w:val="18"/>
                <w:lang w:val="en-US" w:eastAsia="de-DE"/>
              </w:rPr>
            </w:pPr>
            <w:r>
              <w:rPr>
                <w:rFonts w:cs="Arial"/>
                <w:sz w:val="18"/>
                <w:szCs w:val="18"/>
                <w:lang w:val="en-US"/>
              </w:rPr>
              <w:t>-</w:t>
            </w:r>
          </w:p>
        </w:tc>
        <w:tc>
          <w:tcPr>
            <w:tcW w:w="237" w:type="dxa"/>
          </w:tcPr>
          <w:p w:rsidR="00540057" w:rsidRDefault="00540057" w:rsidP="005A3710">
            <w:pPr>
              <w:spacing w:line="240" w:lineRule="auto"/>
              <w:ind w:right="-2"/>
              <w:rPr>
                <w:rFonts w:cs="Arial"/>
                <w:kern w:val="2"/>
                <w:sz w:val="18"/>
                <w:szCs w:val="18"/>
                <w:lang w:val="en-US"/>
              </w:rPr>
            </w:pPr>
          </w:p>
        </w:tc>
        <w:tc>
          <w:tcPr>
            <w:tcW w:w="850" w:type="dxa"/>
            <w:tcBorders>
              <w:top w:val="single" w:sz="4" w:space="0" w:color="auto"/>
              <w:left w:val="nil"/>
              <w:bottom w:val="single" w:sz="4" w:space="0" w:color="auto"/>
              <w:right w:val="nil"/>
            </w:tcBorders>
            <w:vAlign w:val="center"/>
          </w:tcPr>
          <w:p w:rsidR="00540057" w:rsidRPr="00406DD0" w:rsidRDefault="00EF38E3" w:rsidP="00AE3998">
            <w:pPr>
              <w:spacing w:line="240" w:lineRule="auto"/>
              <w:rPr>
                <w:rFonts w:cs="Arial"/>
                <w:sz w:val="18"/>
                <w:szCs w:val="18"/>
                <w:lang w:val="en-US"/>
              </w:rPr>
            </w:pPr>
            <w:r>
              <w:rPr>
                <w:rFonts w:cs="Arial"/>
                <w:sz w:val="18"/>
                <w:szCs w:val="18"/>
                <w:lang w:val="en-US"/>
              </w:rPr>
              <w:t>-</w:t>
            </w:r>
          </w:p>
        </w:tc>
      </w:tr>
      <w:tr w:rsidR="00540057" w:rsidTr="00AE3998">
        <w:trPr>
          <w:trHeight w:val="340"/>
        </w:trPr>
        <w:tc>
          <w:tcPr>
            <w:tcW w:w="249" w:type="dxa"/>
            <w:vAlign w:val="center"/>
          </w:tcPr>
          <w:p w:rsidR="00540057" w:rsidRDefault="00540057" w:rsidP="005A3710">
            <w:pPr>
              <w:spacing w:line="240" w:lineRule="auto"/>
              <w:ind w:right="-2"/>
              <w:rPr>
                <w:rFonts w:cs="Arial"/>
                <w:kern w:val="2"/>
                <w:sz w:val="18"/>
                <w:szCs w:val="18"/>
                <w:lang w:val="en-US"/>
              </w:rPr>
            </w:pPr>
          </w:p>
        </w:tc>
        <w:tc>
          <w:tcPr>
            <w:tcW w:w="1473" w:type="dxa"/>
            <w:tcBorders>
              <w:top w:val="single" w:sz="4" w:space="0" w:color="auto"/>
              <w:left w:val="nil"/>
              <w:bottom w:val="single" w:sz="4" w:space="0" w:color="auto"/>
              <w:right w:val="nil"/>
            </w:tcBorders>
            <w:vAlign w:val="center"/>
            <w:hideMark/>
          </w:tcPr>
          <w:p w:rsidR="00540057" w:rsidRDefault="00540057" w:rsidP="005A3710">
            <w:pPr>
              <w:spacing w:line="240" w:lineRule="auto"/>
              <w:ind w:right="-2"/>
              <w:rPr>
                <w:rFonts w:cs="Arial"/>
                <w:bCs/>
                <w:color w:val="262626"/>
                <w:kern w:val="2"/>
                <w:sz w:val="18"/>
                <w:szCs w:val="18"/>
                <w:lang w:val="en-US" w:eastAsia="de-DE"/>
              </w:rPr>
            </w:pPr>
            <w:r>
              <w:rPr>
                <w:rFonts w:cs="Arial"/>
                <w:bCs/>
                <w:color w:val="262626"/>
                <w:sz w:val="18"/>
                <w:szCs w:val="18"/>
                <w:lang w:val="en-US" w:eastAsia="de-DE"/>
              </w:rPr>
              <w:t>Intel</w:t>
            </w:r>
            <w:r>
              <w:rPr>
                <w:rFonts w:cs="Arial"/>
                <w:bCs/>
                <w:color w:val="262626"/>
                <w:sz w:val="18"/>
                <w:szCs w:val="18"/>
                <w:vertAlign w:val="superscript"/>
                <w:lang w:val="en-US" w:eastAsia="de-DE"/>
              </w:rPr>
              <w:t>®</w:t>
            </w:r>
            <w:r>
              <w:rPr>
                <w:rFonts w:cs="Arial"/>
                <w:bCs/>
                <w:color w:val="262626"/>
                <w:sz w:val="18"/>
                <w:szCs w:val="18"/>
                <w:lang w:val="en-US" w:eastAsia="de-DE"/>
              </w:rPr>
              <w:t xml:space="preserve"> Core™ i3-1115GRE</w:t>
            </w:r>
          </w:p>
        </w:tc>
        <w:tc>
          <w:tcPr>
            <w:tcW w:w="283" w:type="dxa"/>
            <w:vAlign w:val="center"/>
          </w:tcPr>
          <w:p w:rsidR="00540057" w:rsidRDefault="00540057" w:rsidP="005A3710">
            <w:pPr>
              <w:spacing w:line="240" w:lineRule="auto"/>
              <w:ind w:right="-2"/>
              <w:rPr>
                <w:rFonts w:cs="Arial"/>
                <w:kern w:val="2"/>
                <w:sz w:val="18"/>
                <w:szCs w:val="18"/>
                <w:lang w:val="en-US"/>
              </w:rPr>
            </w:pPr>
          </w:p>
        </w:tc>
        <w:tc>
          <w:tcPr>
            <w:tcW w:w="964" w:type="dxa"/>
            <w:tcBorders>
              <w:top w:val="single" w:sz="4" w:space="0" w:color="auto"/>
              <w:left w:val="nil"/>
              <w:bottom w:val="single" w:sz="4" w:space="0" w:color="auto"/>
              <w:right w:val="nil"/>
            </w:tcBorders>
            <w:vAlign w:val="center"/>
            <w:hideMark/>
          </w:tcPr>
          <w:p w:rsidR="00540057" w:rsidRDefault="00540057" w:rsidP="005A3710">
            <w:pPr>
              <w:spacing w:line="240" w:lineRule="auto"/>
              <w:ind w:right="-2"/>
              <w:rPr>
                <w:rFonts w:cs="Arial"/>
                <w:bCs/>
                <w:color w:val="262626"/>
                <w:kern w:val="2"/>
                <w:sz w:val="18"/>
                <w:szCs w:val="18"/>
                <w:lang w:val="en-US" w:eastAsia="de-DE"/>
              </w:rPr>
            </w:pPr>
            <w:r>
              <w:rPr>
                <w:rFonts w:cs="Arial"/>
                <w:bCs/>
                <w:color w:val="262626"/>
                <w:sz w:val="18"/>
                <w:szCs w:val="18"/>
                <w:lang w:val="en-US" w:eastAsia="de-DE"/>
              </w:rPr>
              <w:t>2/4</w:t>
            </w:r>
          </w:p>
        </w:tc>
        <w:tc>
          <w:tcPr>
            <w:tcW w:w="236" w:type="dxa"/>
            <w:vAlign w:val="center"/>
          </w:tcPr>
          <w:p w:rsidR="00540057" w:rsidRDefault="00540057" w:rsidP="005A3710">
            <w:pPr>
              <w:spacing w:line="240" w:lineRule="auto"/>
              <w:ind w:right="-2"/>
              <w:rPr>
                <w:rFonts w:cs="Arial"/>
                <w:bCs/>
                <w:color w:val="262626"/>
                <w:kern w:val="2"/>
                <w:sz w:val="18"/>
                <w:szCs w:val="18"/>
                <w:lang w:val="en-US" w:eastAsia="de-DE"/>
              </w:rPr>
            </w:pPr>
          </w:p>
        </w:tc>
        <w:tc>
          <w:tcPr>
            <w:tcW w:w="1530" w:type="dxa"/>
            <w:tcBorders>
              <w:top w:val="single" w:sz="4" w:space="0" w:color="auto"/>
              <w:left w:val="nil"/>
              <w:bottom w:val="single" w:sz="4" w:space="0" w:color="auto"/>
              <w:right w:val="nil"/>
            </w:tcBorders>
            <w:vAlign w:val="center"/>
            <w:hideMark/>
          </w:tcPr>
          <w:p w:rsidR="00540057" w:rsidRDefault="00540057" w:rsidP="005A3710">
            <w:pPr>
              <w:spacing w:line="240" w:lineRule="auto"/>
              <w:ind w:right="-2"/>
              <w:rPr>
                <w:rFonts w:cs="Arial"/>
                <w:bCs/>
                <w:color w:val="262626"/>
                <w:kern w:val="2"/>
                <w:sz w:val="18"/>
                <w:szCs w:val="18"/>
                <w:lang w:val="en-US" w:eastAsia="de-DE"/>
              </w:rPr>
            </w:pPr>
            <w:r>
              <w:rPr>
                <w:rFonts w:cs="Arial"/>
                <w:bCs/>
                <w:color w:val="262626"/>
                <w:sz w:val="18"/>
                <w:szCs w:val="18"/>
                <w:lang w:val="en-US" w:eastAsia="de-DE"/>
              </w:rPr>
              <w:t>3.0/2.2/1.7 (3.9)</w:t>
            </w:r>
          </w:p>
        </w:tc>
        <w:tc>
          <w:tcPr>
            <w:tcW w:w="236" w:type="dxa"/>
            <w:vAlign w:val="center"/>
          </w:tcPr>
          <w:p w:rsidR="00540057" w:rsidRDefault="00540057" w:rsidP="005A3710">
            <w:pPr>
              <w:spacing w:line="240" w:lineRule="auto"/>
              <w:ind w:right="-2"/>
              <w:rPr>
                <w:rFonts w:cs="Arial"/>
                <w:kern w:val="2"/>
                <w:sz w:val="18"/>
                <w:szCs w:val="18"/>
                <w:lang w:val="en-US"/>
              </w:rPr>
            </w:pPr>
          </w:p>
        </w:tc>
        <w:tc>
          <w:tcPr>
            <w:tcW w:w="794" w:type="dxa"/>
            <w:tcBorders>
              <w:top w:val="single" w:sz="4" w:space="0" w:color="auto"/>
              <w:left w:val="nil"/>
              <w:bottom w:val="single" w:sz="4" w:space="0" w:color="auto"/>
              <w:right w:val="nil"/>
            </w:tcBorders>
            <w:vAlign w:val="center"/>
            <w:hideMark/>
          </w:tcPr>
          <w:p w:rsidR="00540057" w:rsidRDefault="00540057" w:rsidP="00F02221">
            <w:pPr>
              <w:spacing w:line="240" w:lineRule="auto"/>
              <w:ind w:right="-2"/>
              <w:rPr>
                <w:rFonts w:cs="Arial"/>
                <w:bCs/>
                <w:color w:val="262626"/>
                <w:kern w:val="2"/>
                <w:sz w:val="18"/>
                <w:szCs w:val="18"/>
                <w:lang w:val="en-US" w:eastAsia="de-DE"/>
              </w:rPr>
            </w:pPr>
            <w:r>
              <w:rPr>
                <w:rFonts w:cs="Arial"/>
                <w:bCs/>
                <w:color w:val="262626"/>
                <w:sz w:val="18"/>
                <w:szCs w:val="18"/>
                <w:lang w:val="en-US" w:eastAsia="de-DE"/>
              </w:rPr>
              <w:t>6</w:t>
            </w:r>
          </w:p>
        </w:tc>
        <w:tc>
          <w:tcPr>
            <w:tcW w:w="237" w:type="dxa"/>
          </w:tcPr>
          <w:p w:rsidR="00540057" w:rsidRDefault="00540057" w:rsidP="00F02221">
            <w:pPr>
              <w:spacing w:line="240" w:lineRule="auto"/>
              <w:ind w:right="-2"/>
              <w:rPr>
                <w:rFonts w:cs="Arial"/>
                <w:bCs/>
                <w:color w:val="262626"/>
                <w:kern w:val="2"/>
                <w:sz w:val="18"/>
                <w:szCs w:val="18"/>
                <w:lang w:val="en-US" w:eastAsia="de-DE"/>
              </w:rPr>
            </w:pPr>
          </w:p>
        </w:tc>
        <w:tc>
          <w:tcPr>
            <w:tcW w:w="1076" w:type="dxa"/>
            <w:tcBorders>
              <w:top w:val="single" w:sz="4" w:space="0" w:color="auto"/>
              <w:left w:val="nil"/>
              <w:bottom w:val="single" w:sz="4" w:space="0" w:color="auto"/>
              <w:right w:val="nil"/>
            </w:tcBorders>
            <w:vAlign w:val="center"/>
            <w:hideMark/>
          </w:tcPr>
          <w:p w:rsidR="00540057" w:rsidRDefault="00540057" w:rsidP="00F02221">
            <w:pPr>
              <w:spacing w:line="240" w:lineRule="auto"/>
              <w:ind w:right="-2"/>
              <w:rPr>
                <w:rFonts w:cs="Arial"/>
                <w:bCs/>
                <w:color w:val="262626"/>
                <w:kern w:val="2"/>
                <w:sz w:val="18"/>
                <w:szCs w:val="18"/>
                <w:lang w:val="en-US" w:eastAsia="de-DE"/>
              </w:rPr>
            </w:pPr>
            <w:r>
              <w:rPr>
                <w:rFonts w:cs="Arial"/>
                <w:bCs/>
                <w:color w:val="262626"/>
                <w:sz w:val="18"/>
                <w:szCs w:val="18"/>
                <w:lang w:val="en-US" w:eastAsia="de-DE"/>
              </w:rPr>
              <w:t>48</w:t>
            </w:r>
          </w:p>
        </w:tc>
        <w:tc>
          <w:tcPr>
            <w:tcW w:w="236" w:type="dxa"/>
            <w:vAlign w:val="center"/>
          </w:tcPr>
          <w:p w:rsidR="00540057" w:rsidRDefault="00540057" w:rsidP="005A3710">
            <w:pPr>
              <w:spacing w:line="240" w:lineRule="auto"/>
              <w:ind w:right="-2"/>
              <w:rPr>
                <w:rFonts w:cs="Arial"/>
                <w:bCs/>
                <w:color w:val="262626"/>
                <w:kern w:val="2"/>
                <w:sz w:val="18"/>
                <w:szCs w:val="18"/>
                <w:lang w:val="en-US" w:eastAsia="de-DE"/>
              </w:rPr>
            </w:pPr>
          </w:p>
        </w:tc>
        <w:tc>
          <w:tcPr>
            <w:tcW w:w="874" w:type="dxa"/>
            <w:tcBorders>
              <w:top w:val="single" w:sz="4" w:space="0" w:color="auto"/>
              <w:left w:val="nil"/>
              <w:bottom w:val="single" w:sz="4" w:space="0" w:color="auto"/>
              <w:right w:val="nil"/>
            </w:tcBorders>
            <w:vAlign w:val="center"/>
            <w:hideMark/>
          </w:tcPr>
          <w:p w:rsidR="00540057" w:rsidRDefault="00406DD0" w:rsidP="00F02221">
            <w:pPr>
              <w:spacing w:line="240" w:lineRule="auto"/>
              <w:ind w:right="-2"/>
              <w:rPr>
                <w:rFonts w:cs="Arial"/>
                <w:bCs/>
                <w:color w:val="262626"/>
                <w:kern w:val="2"/>
                <w:sz w:val="18"/>
                <w:szCs w:val="18"/>
                <w:lang w:val="en-US" w:eastAsia="de-DE"/>
              </w:rPr>
            </w:pPr>
            <w:proofErr w:type="spellStart"/>
            <w:r>
              <w:rPr>
                <w:rFonts w:cs="Arial"/>
                <w:sz w:val="18"/>
                <w:szCs w:val="18"/>
                <w:lang w:val="en-US"/>
              </w:rPr>
              <w:t>Ja</w:t>
            </w:r>
            <w:proofErr w:type="spellEnd"/>
          </w:p>
        </w:tc>
        <w:tc>
          <w:tcPr>
            <w:tcW w:w="237" w:type="dxa"/>
          </w:tcPr>
          <w:p w:rsidR="00540057" w:rsidRDefault="00540057" w:rsidP="005A3710">
            <w:pPr>
              <w:spacing w:line="240" w:lineRule="auto"/>
              <w:ind w:right="-2"/>
              <w:rPr>
                <w:rFonts w:cs="Arial"/>
                <w:kern w:val="2"/>
                <w:sz w:val="18"/>
                <w:szCs w:val="18"/>
                <w:lang w:val="en-US"/>
              </w:rPr>
            </w:pPr>
          </w:p>
        </w:tc>
        <w:tc>
          <w:tcPr>
            <w:tcW w:w="850" w:type="dxa"/>
            <w:tcBorders>
              <w:top w:val="single" w:sz="4" w:space="0" w:color="auto"/>
              <w:left w:val="nil"/>
              <w:bottom w:val="single" w:sz="4" w:space="0" w:color="auto"/>
              <w:right w:val="nil"/>
            </w:tcBorders>
            <w:vAlign w:val="center"/>
            <w:hideMark/>
          </w:tcPr>
          <w:p w:rsidR="00540057" w:rsidRPr="00406DD0" w:rsidRDefault="00406DD0" w:rsidP="00AE3998">
            <w:pPr>
              <w:spacing w:line="240" w:lineRule="auto"/>
              <w:rPr>
                <w:rFonts w:cs="Arial"/>
                <w:sz w:val="18"/>
                <w:szCs w:val="18"/>
                <w:lang w:val="en-US"/>
              </w:rPr>
            </w:pPr>
            <w:proofErr w:type="spellStart"/>
            <w:r>
              <w:rPr>
                <w:rFonts w:cs="Arial"/>
                <w:sz w:val="18"/>
                <w:szCs w:val="18"/>
                <w:lang w:val="en-US"/>
              </w:rPr>
              <w:t>Ja</w:t>
            </w:r>
            <w:proofErr w:type="spellEnd"/>
          </w:p>
        </w:tc>
      </w:tr>
      <w:tr w:rsidR="00540057" w:rsidTr="00AE3998">
        <w:trPr>
          <w:trHeight w:val="340"/>
        </w:trPr>
        <w:tc>
          <w:tcPr>
            <w:tcW w:w="249" w:type="dxa"/>
            <w:vAlign w:val="center"/>
          </w:tcPr>
          <w:p w:rsidR="00540057" w:rsidRDefault="00540057" w:rsidP="005A3710">
            <w:pPr>
              <w:spacing w:line="240" w:lineRule="auto"/>
              <w:ind w:right="-2"/>
              <w:rPr>
                <w:rFonts w:cs="Arial"/>
                <w:kern w:val="2"/>
                <w:sz w:val="18"/>
                <w:szCs w:val="18"/>
                <w:lang w:val="en-US"/>
              </w:rPr>
            </w:pPr>
          </w:p>
        </w:tc>
        <w:tc>
          <w:tcPr>
            <w:tcW w:w="1473" w:type="dxa"/>
            <w:tcBorders>
              <w:top w:val="single" w:sz="4" w:space="0" w:color="auto"/>
              <w:left w:val="nil"/>
              <w:bottom w:val="single" w:sz="4" w:space="0" w:color="auto"/>
              <w:right w:val="nil"/>
            </w:tcBorders>
            <w:vAlign w:val="center"/>
            <w:hideMark/>
          </w:tcPr>
          <w:p w:rsidR="00540057" w:rsidRDefault="00540057" w:rsidP="005A3710">
            <w:pPr>
              <w:spacing w:line="240" w:lineRule="auto"/>
              <w:ind w:right="-2"/>
              <w:rPr>
                <w:rFonts w:cs="Arial"/>
                <w:bCs/>
                <w:color w:val="262626"/>
                <w:kern w:val="2"/>
                <w:sz w:val="18"/>
                <w:szCs w:val="18"/>
                <w:lang w:val="en-US" w:eastAsia="de-DE"/>
              </w:rPr>
            </w:pPr>
            <w:r>
              <w:rPr>
                <w:rFonts w:cs="Arial"/>
                <w:bCs/>
                <w:color w:val="262626"/>
                <w:sz w:val="18"/>
                <w:szCs w:val="18"/>
                <w:lang w:val="en-US" w:eastAsia="de-DE"/>
              </w:rPr>
              <w:t>Intel</w:t>
            </w:r>
            <w:r>
              <w:rPr>
                <w:rFonts w:cs="Arial"/>
                <w:bCs/>
                <w:color w:val="262626"/>
                <w:sz w:val="18"/>
                <w:szCs w:val="18"/>
                <w:vertAlign w:val="superscript"/>
                <w:lang w:val="en-US" w:eastAsia="de-DE"/>
              </w:rPr>
              <w:t>®</w:t>
            </w:r>
            <w:r>
              <w:rPr>
                <w:rFonts w:cs="Arial"/>
                <w:bCs/>
                <w:color w:val="262626"/>
                <w:sz w:val="18"/>
                <w:szCs w:val="18"/>
                <w:lang w:val="en-US" w:eastAsia="de-DE"/>
              </w:rPr>
              <w:t xml:space="preserve"> Celeron</w:t>
            </w:r>
            <w:r>
              <w:rPr>
                <w:rFonts w:cs="Arial"/>
                <w:bCs/>
                <w:color w:val="262626"/>
                <w:sz w:val="18"/>
                <w:szCs w:val="18"/>
                <w:vertAlign w:val="superscript"/>
                <w:lang w:val="en-US" w:eastAsia="de-DE"/>
              </w:rPr>
              <w:t>®</w:t>
            </w:r>
            <w:r>
              <w:rPr>
                <w:rFonts w:cs="Arial"/>
                <w:bCs/>
                <w:color w:val="262626"/>
                <w:sz w:val="18"/>
                <w:szCs w:val="18"/>
                <w:lang w:val="en-US" w:eastAsia="de-DE"/>
              </w:rPr>
              <w:t xml:space="preserve"> 6305E</w:t>
            </w:r>
          </w:p>
        </w:tc>
        <w:tc>
          <w:tcPr>
            <w:tcW w:w="283" w:type="dxa"/>
            <w:vAlign w:val="center"/>
          </w:tcPr>
          <w:p w:rsidR="00540057" w:rsidRDefault="00540057" w:rsidP="005A3710">
            <w:pPr>
              <w:spacing w:line="240" w:lineRule="auto"/>
              <w:ind w:right="-2"/>
              <w:rPr>
                <w:rFonts w:cs="Arial"/>
                <w:kern w:val="2"/>
                <w:sz w:val="18"/>
                <w:szCs w:val="18"/>
                <w:lang w:val="en-US"/>
              </w:rPr>
            </w:pPr>
          </w:p>
        </w:tc>
        <w:tc>
          <w:tcPr>
            <w:tcW w:w="964" w:type="dxa"/>
            <w:tcBorders>
              <w:top w:val="single" w:sz="4" w:space="0" w:color="auto"/>
              <w:left w:val="nil"/>
              <w:bottom w:val="single" w:sz="4" w:space="0" w:color="auto"/>
              <w:right w:val="nil"/>
            </w:tcBorders>
            <w:vAlign w:val="center"/>
            <w:hideMark/>
          </w:tcPr>
          <w:p w:rsidR="00540057" w:rsidRDefault="00540057" w:rsidP="005A3710">
            <w:pPr>
              <w:spacing w:line="240" w:lineRule="auto"/>
              <w:ind w:right="-2"/>
              <w:rPr>
                <w:rFonts w:cs="Arial"/>
                <w:bCs/>
                <w:color w:val="262626"/>
                <w:kern w:val="2"/>
                <w:sz w:val="18"/>
                <w:szCs w:val="18"/>
                <w:lang w:val="en-US" w:eastAsia="de-DE"/>
              </w:rPr>
            </w:pPr>
            <w:r>
              <w:rPr>
                <w:rFonts w:cs="Arial"/>
                <w:bCs/>
                <w:color w:val="262626"/>
                <w:sz w:val="18"/>
                <w:szCs w:val="18"/>
                <w:lang w:val="en-US" w:eastAsia="de-DE"/>
              </w:rPr>
              <w:t>2/2</w:t>
            </w:r>
          </w:p>
        </w:tc>
        <w:tc>
          <w:tcPr>
            <w:tcW w:w="236" w:type="dxa"/>
            <w:vAlign w:val="center"/>
          </w:tcPr>
          <w:p w:rsidR="00540057" w:rsidRDefault="00540057" w:rsidP="005A3710">
            <w:pPr>
              <w:spacing w:line="240" w:lineRule="auto"/>
              <w:ind w:right="-2"/>
              <w:rPr>
                <w:rFonts w:cs="Arial"/>
                <w:bCs/>
                <w:color w:val="262626"/>
                <w:kern w:val="2"/>
                <w:sz w:val="18"/>
                <w:szCs w:val="18"/>
                <w:lang w:val="en-US" w:eastAsia="de-DE"/>
              </w:rPr>
            </w:pPr>
          </w:p>
        </w:tc>
        <w:tc>
          <w:tcPr>
            <w:tcW w:w="1530" w:type="dxa"/>
            <w:tcBorders>
              <w:top w:val="single" w:sz="4" w:space="0" w:color="auto"/>
              <w:left w:val="nil"/>
              <w:bottom w:val="single" w:sz="4" w:space="0" w:color="auto"/>
              <w:right w:val="nil"/>
            </w:tcBorders>
            <w:vAlign w:val="center"/>
            <w:hideMark/>
          </w:tcPr>
          <w:p w:rsidR="00540057" w:rsidRDefault="00540057" w:rsidP="005A3710">
            <w:pPr>
              <w:spacing w:line="240" w:lineRule="auto"/>
              <w:ind w:right="-2"/>
              <w:rPr>
                <w:rFonts w:cs="Arial"/>
                <w:bCs/>
                <w:color w:val="262626"/>
                <w:kern w:val="2"/>
                <w:sz w:val="18"/>
                <w:szCs w:val="18"/>
                <w:lang w:val="en-US" w:eastAsia="de-DE"/>
              </w:rPr>
            </w:pPr>
            <w:r>
              <w:rPr>
                <w:rFonts w:cs="Arial"/>
                <w:bCs/>
                <w:color w:val="262626"/>
                <w:sz w:val="18"/>
                <w:szCs w:val="18"/>
                <w:lang w:val="en-US" w:eastAsia="de-DE"/>
              </w:rPr>
              <w:t>1.8 (n/a)</w:t>
            </w:r>
          </w:p>
        </w:tc>
        <w:tc>
          <w:tcPr>
            <w:tcW w:w="236" w:type="dxa"/>
            <w:vAlign w:val="center"/>
          </w:tcPr>
          <w:p w:rsidR="00540057" w:rsidRDefault="00540057" w:rsidP="005A3710">
            <w:pPr>
              <w:spacing w:line="240" w:lineRule="auto"/>
              <w:ind w:right="-2"/>
              <w:rPr>
                <w:rFonts w:cs="Arial"/>
                <w:kern w:val="2"/>
                <w:sz w:val="18"/>
                <w:szCs w:val="18"/>
                <w:lang w:val="en-US"/>
              </w:rPr>
            </w:pPr>
          </w:p>
        </w:tc>
        <w:tc>
          <w:tcPr>
            <w:tcW w:w="794" w:type="dxa"/>
            <w:tcBorders>
              <w:top w:val="single" w:sz="4" w:space="0" w:color="auto"/>
              <w:left w:val="nil"/>
              <w:bottom w:val="single" w:sz="4" w:space="0" w:color="auto"/>
              <w:right w:val="nil"/>
            </w:tcBorders>
            <w:vAlign w:val="center"/>
            <w:hideMark/>
          </w:tcPr>
          <w:p w:rsidR="00540057" w:rsidRDefault="00540057" w:rsidP="00F02221">
            <w:pPr>
              <w:spacing w:line="240" w:lineRule="auto"/>
              <w:ind w:right="-2"/>
              <w:rPr>
                <w:rFonts w:cs="Arial"/>
                <w:bCs/>
                <w:color w:val="262626"/>
                <w:kern w:val="2"/>
                <w:sz w:val="18"/>
                <w:szCs w:val="18"/>
                <w:lang w:val="en-US" w:eastAsia="de-DE"/>
              </w:rPr>
            </w:pPr>
            <w:r>
              <w:rPr>
                <w:rFonts w:cs="Arial"/>
                <w:bCs/>
                <w:color w:val="262626"/>
                <w:sz w:val="18"/>
                <w:szCs w:val="18"/>
                <w:lang w:val="en-US" w:eastAsia="de-DE"/>
              </w:rPr>
              <w:t>4</w:t>
            </w:r>
          </w:p>
        </w:tc>
        <w:tc>
          <w:tcPr>
            <w:tcW w:w="237" w:type="dxa"/>
          </w:tcPr>
          <w:p w:rsidR="00540057" w:rsidRDefault="00540057" w:rsidP="00F02221">
            <w:pPr>
              <w:spacing w:line="240" w:lineRule="auto"/>
              <w:ind w:right="-2"/>
              <w:rPr>
                <w:rFonts w:cs="Arial"/>
                <w:bCs/>
                <w:color w:val="262626"/>
                <w:kern w:val="2"/>
                <w:sz w:val="18"/>
                <w:szCs w:val="18"/>
                <w:lang w:val="en-US" w:eastAsia="de-DE"/>
              </w:rPr>
            </w:pPr>
          </w:p>
        </w:tc>
        <w:tc>
          <w:tcPr>
            <w:tcW w:w="1076" w:type="dxa"/>
            <w:tcBorders>
              <w:top w:val="single" w:sz="4" w:space="0" w:color="auto"/>
              <w:left w:val="nil"/>
              <w:bottom w:val="single" w:sz="4" w:space="0" w:color="auto"/>
              <w:right w:val="nil"/>
            </w:tcBorders>
            <w:vAlign w:val="center"/>
            <w:hideMark/>
          </w:tcPr>
          <w:p w:rsidR="00540057" w:rsidRDefault="00540057" w:rsidP="00F02221">
            <w:pPr>
              <w:spacing w:line="240" w:lineRule="auto"/>
              <w:ind w:right="-2"/>
              <w:rPr>
                <w:rFonts w:cs="Arial"/>
                <w:bCs/>
                <w:color w:val="262626"/>
                <w:kern w:val="2"/>
                <w:sz w:val="18"/>
                <w:szCs w:val="18"/>
                <w:lang w:val="en-US" w:eastAsia="de-DE"/>
              </w:rPr>
            </w:pPr>
            <w:r>
              <w:rPr>
                <w:rFonts w:cs="Arial"/>
                <w:bCs/>
                <w:color w:val="262626"/>
                <w:sz w:val="18"/>
                <w:szCs w:val="18"/>
                <w:lang w:val="en-US" w:eastAsia="de-DE"/>
              </w:rPr>
              <w:t>48</w:t>
            </w:r>
          </w:p>
        </w:tc>
        <w:tc>
          <w:tcPr>
            <w:tcW w:w="236" w:type="dxa"/>
            <w:vAlign w:val="center"/>
          </w:tcPr>
          <w:p w:rsidR="00540057" w:rsidRDefault="00540057" w:rsidP="005A3710">
            <w:pPr>
              <w:spacing w:line="240" w:lineRule="auto"/>
              <w:ind w:right="-2"/>
              <w:rPr>
                <w:rFonts w:cs="Arial"/>
                <w:bCs/>
                <w:color w:val="262626"/>
                <w:kern w:val="2"/>
                <w:sz w:val="18"/>
                <w:szCs w:val="18"/>
                <w:lang w:val="en-US" w:eastAsia="de-DE"/>
              </w:rPr>
            </w:pPr>
          </w:p>
        </w:tc>
        <w:tc>
          <w:tcPr>
            <w:tcW w:w="874" w:type="dxa"/>
            <w:tcBorders>
              <w:top w:val="single" w:sz="4" w:space="0" w:color="auto"/>
              <w:left w:val="nil"/>
              <w:bottom w:val="single" w:sz="4" w:space="0" w:color="auto"/>
              <w:right w:val="nil"/>
            </w:tcBorders>
            <w:vAlign w:val="center"/>
          </w:tcPr>
          <w:p w:rsidR="00540057" w:rsidRDefault="00EF38E3" w:rsidP="00F02221">
            <w:pPr>
              <w:spacing w:line="240" w:lineRule="auto"/>
              <w:ind w:right="-2"/>
              <w:rPr>
                <w:rFonts w:cs="Arial"/>
                <w:kern w:val="2"/>
                <w:sz w:val="18"/>
                <w:szCs w:val="18"/>
                <w:lang w:val="en-US"/>
              </w:rPr>
            </w:pPr>
            <w:r>
              <w:rPr>
                <w:rFonts w:cs="Arial"/>
                <w:kern w:val="2"/>
                <w:sz w:val="18"/>
                <w:szCs w:val="18"/>
                <w:lang w:val="en-US"/>
              </w:rPr>
              <w:t>-</w:t>
            </w:r>
          </w:p>
        </w:tc>
        <w:tc>
          <w:tcPr>
            <w:tcW w:w="237" w:type="dxa"/>
          </w:tcPr>
          <w:p w:rsidR="00540057" w:rsidRDefault="00540057" w:rsidP="005A3710">
            <w:pPr>
              <w:spacing w:line="240" w:lineRule="auto"/>
              <w:ind w:right="-2"/>
              <w:rPr>
                <w:rFonts w:cs="Arial"/>
                <w:kern w:val="2"/>
                <w:sz w:val="18"/>
                <w:szCs w:val="18"/>
                <w:lang w:val="en-US"/>
              </w:rPr>
            </w:pPr>
          </w:p>
        </w:tc>
        <w:tc>
          <w:tcPr>
            <w:tcW w:w="850" w:type="dxa"/>
            <w:tcBorders>
              <w:top w:val="single" w:sz="4" w:space="0" w:color="auto"/>
              <w:left w:val="nil"/>
              <w:bottom w:val="single" w:sz="4" w:space="0" w:color="auto"/>
              <w:right w:val="nil"/>
            </w:tcBorders>
            <w:vAlign w:val="center"/>
          </w:tcPr>
          <w:p w:rsidR="00540057" w:rsidRPr="00406DD0" w:rsidRDefault="00EF38E3" w:rsidP="00AE3998">
            <w:pPr>
              <w:spacing w:line="240" w:lineRule="auto"/>
              <w:ind w:right="-2"/>
              <w:rPr>
                <w:rFonts w:cs="Arial"/>
                <w:sz w:val="18"/>
                <w:szCs w:val="18"/>
                <w:lang w:val="en-US"/>
              </w:rPr>
            </w:pPr>
            <w:r>
              <w:rPr>
                <w:rFonts w:cs="Arial"/>
                <w:sz w:val="18"/>
                <w:szCs w:val="18"/>
                <w:lang w:val="en-US"/>
              </w:rPr>
              <w:t>-</w:t>
            </w:r>
          </w:p>
        </w:tc>
      </w:tr>
    </w:tbl>
    <w:p w:rsidR="00540057" w:rsidRDefault="00540057" w:rsidP="00C27445">
      <w:pPr>
        <w:ind w:right="-2"/>
        <w:rPr>
          <w:rFonts w:cs="Arial"/>
          <w:kern w:val="2"/>
          <w:szCs w:val="22"/>
          <w:lang w:val="en-US"/>
        </w:rPr>
      </w:pPr>
    </w:p>
    <w:p w:rsidR="00540057" w:rsidRPr="00540057" w:rsidRDefault="00540057" w:rsidP="00C27445">
      <w:pPr>
        <w:rPr>
          <w:rFonts w:cs="Arial"/>
          <w:szCs w:val="22"/>
        </w:rPr>
      </w:pPr>
      <w:r w:rsidRPr="00540057">
        <w:rPr>
          <w:rFonts w:cs="Arial"/>
          <w:szCs w:val="22"/>
        </w:rPr>
        <w:t xml:space="preserve">Die Produktseite des </w:t>
      </w:r>
      <w:proofErr w:type="spellStart"/>
      <w:r w:rsidRPr="00540057">
        <w:rPr>
          <w:rFonts w:cs="Arial"/>
          <w:szCs w:val="22"/>
        </w:rPr>
        <w:t>conga</w:t>
      </w:r>
      <w:proofErr w:type="spellEnd"/>
      <w:r w:rsidRPr="00540057">
        <w:rPr>
          <w:rFonts w:cs="Arial"/>
          <w:szCs w:val="22"/>
        </w:rPr>
        <w:t>-HPC/</w:t>
      </w:r>
      <w:proofErr w:type="spellStart"/>
      <w:r w:rsidRPr="00540057">
        <w:rPr>
          <w:rFonts w:cs="Arial"/>
          <w:szCs w:val="22"/>
        </w:rPr>
        <w:t>cTLU</w:t>
      </w:r>
      <w:proofErr w:type="spellEnd"/>
      <w:r w:rsidRPr="00540057">
        <w:rPr>
          <w:rFonts w:cs="Arial"/>
          <w:szCs w:val="22"/>
        </w:rPr>
        <w:t xml:space="preserve"> finden Sie unter: </w:t>
      </w:r>
    </w:p>
    <w:p w:rsidR="00540057" w:rsidRPr="00EF1E6C" w:rsidRDefault="0099376E" w:rsidP="00C27445">
      <w:pPr>
        <w:rPr>
          <w:rFonts w:cs="Arial"/>
          <w:szCs w:val="22"/>
        </w:rPr>
      </w:pPr>
      <w:hyperlink r:id="rId10" w:history="1">
        <w:r w:rsidR="0054282C" w:rsidRPr="001F54CF">
          <w:rPr>
            <w:rStyle w:val="Hyperlink"/>
          </w:rPr>
          <w:t>https://www.congatec.com/de/produkte/zubehoer</w:t>
        </w:r>
        <w:r w:rsidR="0054282C" w:rsidRPr="001F54CF">
          <w:rPr>
            <w:rStyle w:val="Hyperlink"/>
            <w:rFonts w:cs="Arial"/>
            <w:szCs w:val="22"/>
          </w:rPr>
          <w:t>/conga-hpceval-client/</w:t>
        </w:r>
      </w:hyperlink>
    </w:p>
    <w:p w:rsidR="00540057" w:rsidRDefault="00540057" w:rsidP="00D2738E"/>
    <w:p w:rsidR="003A6E23" w:rsidRPr="003A6E23" w:rsidRDefault="003A6E23" w:rsidP="003A6E23">
      <w:pPr>
        <w:rPr>
          <w:b/>
        </w:rPr>
      </w:pPr>
      <w:r w:rsidRPr="003A6E23">
        <w:rPr>
          <w:b/>
        </w:rPr>
        <w:t>Kostenloses COM-HPC-Training</w:t>
      </w:r>
    </w:p>
    <w:p w:rsidR="003A6E23" w:rsidRPr="003A6E23" w:rsidRDefault="003A6E23" w:rsidP="003A6E23">
      <w:r>
        <w:t>Entwickler</w:t>
      </w:r>
      <w:r w:rsidRPr="003A6E23">
        <w:t xml:space="preserve">, die mehr darüber erfahren möchten, warum und wie man Systeme auf Basis des COM-HPC-Ökosystems entwirft, können an </w:t>
      </w:r>
      <w:r>
        <w:t>congatec‘s 3-stündiger</w:t>
      </w:r>
      <w:r w:rsidRPr="003A6E23">
        <w:t xml:space="preserve"> Online-Schulung 'Add-on COM-HPC Training'</w:t>
      </w:r>
      <w:r>
        <w:t xml:space="preserve"> teilnehmen</w:t>
      </w:r>
      <w:r w:rsidRPr="003A6E23">
        <w:t>.</w:t>
      </w:r>
    </w:p>
    <w:p w:rsidR="003A6E23" w:rsidRPr="003A6E23" w:rsidRDefault="003A6E23" w:rsidP="00D2738E"/>
    <w:p w:rsidR="00540057" w:rsidRDefault="00540057" w:rsidP="00D2738E">
      <w:r w:rsidRPr="00540057">
        <w:t>Informationen über den COM-HPC-Standard und das gesamte congatec-</w:t>
      </w:r>
      <w:r w:rsidR="00F5326D">
        <w:t>Öko</w:t>
      </w:r>
      <w:r w:rsidR="00F5326D" w:rsidRPr="00540057">
        <w:t xml:space="preserve">system </w:t>
      </w:r>
      <w:r w:rsidRPr="00540057">
        <w:t xml:space="preserve">finden Sie unter: </w:t>
      </w:r>
      <w:hyperlink r:id="rId11" w:history="1">
        <w:r w:rsidRPr="007A4836">
          <w:rPr>
            <w:rStyle w:val="Hyperlink"/>
            <w:rFonts w:cs="Arial"/>
            <w:szCs w:val="22"/>
          </w:rPr>
          <w:t>https://www.congatec.com/com-hpc</w:t>
        </w:r>
      </w:hyperlink>
    </w:p>
    <w:p w:rsidR="00540057" w:rsidRPr="00540057" w:rsidRDefault="00540057" w:rsidP="00D2738E"/>
    <w:p w:rsidR="00D108AC" w:rsidRPr="00EE2731" w:rsidRDefault="00B2216B" w:rsidP="00D2738E">
      <w:r w:rsidRPr="00EE2731">
        <w:t xml:space="preserve">Text und Foto </w:t>
      </w:r>
      <w:r w:rsidR="00610A48">
        <w:t>unter</w:t>
      </w:r>
      <w:r w:rsidRPr="00EE2731">
        <w:rPr>
          <w:iCs/>
          <w:color w:val="000000"/>
        </w:rPr>
        <w:t xml:space="preserve">: </w:t>
      </w:r>
      <w:hyperlink r:id="rId12" w:history="1">
        <w:r w:rsidR="00673527" w:rsidRPr="00EE2731">
          <w:rPr>
            <w:rStyle w:val="Hyperlink"/>
            <w:rFonts w:cs="Arial"/>
            <w:szCs w:val="22"/>
          </w:rPr>
          <w:t>https://www.congatec.com/de/congatec/pressemitteilungen/</w:t>
        </w:r>
      </w:hyperlink>
    </w:p>
    <w:p w:rsidR="00610A48" w:rsidRDefault="00610A48" w:rsidP="00D2738E"/>
    <w:p w:rsidR="00F76F29" w:rsidRPr="00EE2731" w:rsidRDefault="00F76F29" w:rsidP="00D2738E">
      <w:pPr>
        <w:jc w:val="center"/>
      </w:pPr>
      <w:r w:rsidRPr="00EE2731">
        <w:t>* * *</w:t>
      </w:r>
    </w:p>
    <w:p w:rsidR="009C76DA" w:rsidRPr="00EE2731" w:rsidRDefault="009C76DA" w:rsidP="00D2738E"/>
    <w:tbl>
      <w:tblPr>
        <w:tblW w:w="0" w:type="auto"/>
        <w:tblLayout w:type="fixed"/>
        <w:tblCellMar>
          <w:left w:w="0" w:type="dxa"/>
          <w:right w:w="0" w:type="dxa"/>
        </w:tblCellMar>
        <w:tblLook w:val="0000"/>
      </w:tblPr>
      <w:tblGrid>
        <w:gridCol w:w="2977"/>
        <w:gridCol w:w="3118"/>
      </w:tblGrid>
      <w:tr w:rsidR="00F76F29" w:rsidRPr="00EE2731" w:rsidTr="00610A48">
        <w:trPr>
          <w:trHeight w:val="270"/>
        </w:trPr>
        <w:tc>
          <w:tcPr>
            <w:tcW w:w="2977" w:type="dxa"/>
            <w:shd w:val="clear" w:color="auto" w:fill="auto"/>
          </w:tcPr>
          <w:p w:rsidR="00F76F29" w:rsidRPr="005A3710" w:rsidRDefault="00F76F29" w:rsidP="00C27445">
            <w:pPr>
              <w:pStyle w:val="Standard1"/>
              <w:snapToGrid w:val="0"/>
              <w:spacing w:line="276" w:lineRule="auto"/>
              <w:ind w:right="-1058"/>
              <w:jc w:val="left"/>
              <w:rPr>
                <w:rFonts w:ascii="Arial" w:hAnsi="Arial" w:cs="Arial"/>
                <w:b/>
                <w:sz w:val="18"/>
                <w:szCs w:val="18"/>
              </w:rPr>
            </w:pPr>
            <w:r w:rsidRPr="005A3710">
              <w:rPr>
                <w:rFonts w:ascii="Arial" w:hAnsi="Arial" w:cs="Arial"/>
                <w:b/>
                <w:sz w:val="18"/>
                <w:szCs w:val="18"/>
              </w:rPr>
              <w:t>Leserkontakt:</w:t>
            </w:r>
          </w:p>
          <w:p w:rsidR="00C9595F" w:rsidRPr="005A3710" w:rsidRDefault="00C9595F" w:rsidP="00C27445">
            <w:pPr>
              <w:pStyle w:val="Standard1"/>
              <w:snapToGrid w:val="0"/>
              <w:spacing w:line="276" w:lineRule="auto"/>
              <w:ind w:right="-1058"/>
              <w:jc w:val="left"/>
              <w:rPr>
                <w:rFonts w:ascii="Arial" w:hAnsi="Arial" w:cs="Arial"/>
                <w:sz w:val="18"/>
                <w:szCs w:val="18"/>
              </w:rPr>
            </w:pPr>
            <w:r w:rsidRPr="005A3710">
              <w:rPr>
                <w:rFonts w:ascii="Arial" w:hAnsi="Arial" w:cs="Arial"/>
                <w:sz w:val="18"/>
                <w:szCs w:val="18"/>
              </w:rPr>
              <w:t xml:space="preserve">congatec </w:t>
            </w:r>
            <w:r w:rsidR="00753991" w:rsidRPr="005A3710">
              <w:rPr>
                <w:rFonts w:ascii="Arial" w:hAnsi="Arial" w:cs="Arial"/>
                <w:sz w:val="18"/>
                <w:szCs w:val="18"/>
              </w:rPr>
              <w:t>GmbH</w:t>
            </w:r>
          </w:p>
          <w:p w:rsidR="00C9595F" w:rsidRPr="005A3710" w:rsidRDefault="00C9595F" w:rsidP="00C27445">
            <w:pPr>
              <w:pStyle w:val="Standard1"/>
              <w:snapToGrid w:val="0"/>
              <w:spacing w:line="276" w:lineRule="auto"/>
              <w:ind w:right="-1058"/>
              <w:jc w:val="left"/>
              <w:rPr>
                <w:rFonts w:ascii="Arial" w:hAnsi="Arial" w:cs="Arial"/>
                <w:b/>
                <w:sz w:val="18"/>
                <w:szCs w:val="18"/>
              </w:rPr>
            </w:pPr>
            <w:r w:rsidRPr="005A3710">
              <w:rPr>
                <w:rFonts w:ascii="Arial" w:hAnsi="Arial" w:cs="Arial"/>
                <w:sz w:val="18"/>
                <w:szCs w:val="18"/>
              </w:rPr>
              <w:t>Christian Eder</w:t>
            </w:r>
          </w:p>
          <w:p w:rsidR="00C9595F" w:rsidRPr="005A3710" w:rsidRDefault="00D401F9" w:rsidP="00C27445">
            <w:pPr>
              <w:pStyle w:val="Standard1"/>
              <w:snapToGrid w:val="0"/>
              <w:spacing w:line="276" w:lineRule="auto"/>
              <w:ind w:right="-1058"/>
              <w:jc w:val="left"/>
              <w:rPr>
                <w:rFonts w:ascii="Arial" w:hAnsi="Arial" w:cs="Arial"/>
                <w:b/>
                <w:sz w:val="18"/>
                <w:szCs w:val="18"/>
              </w:rPr>
            </w:pPr>
            <w:r w:rsidRPr="005A3710">
              <w:rPr>
                <w:rFonts w:ascii="Arial" w:hAnsi="Arial" w:cs="Arial"/>
                <w:sz w:val="18"/>
                <w:szCs w:val="18"/>
              </w:rPr>
              <w:t>Telefon: +49-991-2700-0</w:t>
            </w:r>
          </w:p>
          <w:p w:rsidR="00D401F9" w:rsidRPr="005A3710" w:rsidRDefault="0099376E" w:rsidP="00C27445">
            <w:pPr>
              <w:pStyle w:val="Standard1"/>
              <w:snapToGrid w:val="0"/>
              <w:spacing w:line="276" w:lineRule="auto"/>
              <w:jc w:val="left"/>
              <w:rPr>
                <w:rFonts w:ascii="Arial" w:hAnsi="Arial" w:cs="Arial"/>
                <w:sz w:val="18"/>
                <w:szCs w:val="18"/>
              </w:rPr>
            </w:pPr>
            <w:hyperlink r:id="rId13" w:history="1">
              <w:r w:rsidR="00D401F9" w:rsidRPr="005A3710">
                <w:rPr>
                  <w:rStyle w:val="Hyperlink"/>
                  <w:rFonts w:ascii="Arial" w:hAnsi="Arial" w:cs="Arial"/>
                  <w:sz w:val="18"/>
                  <w:szCs w:val="18"/>
                  <w:u w:val="none"/>
                </w:rPr>
                <w:t>info@congatec.com</w:t>
              </w:r>
            </w:hyperlink>
            <w:r w:rsidR="00D401F9" w:rsidRPr="005A3710">
              <w:rPr>
                <w:rFonts w:ascii="Arial" w:hAnsi="Arial" w:cs="Arial"/>
                <w:sz w:val="18"/>
                <w:szCs w:val="18"/>
              </w:rPr>
              <w:t xml:space="preserve"> </w:t>
            </w:r>
          </w:p>
          <w:p w:rsidR="00C9595F" w:rsidRPr="005A3710" w:rsidRDefault="0099376E" w:rsidP="00C27445">
            <w:pPr>
              <w:pStyle w:val="Standard1"/>
              <w:snapToGrid w:val="0"/>
              <w:spacing w:line="276" w:lineRule="auto"/>
              <w:ind w:right="-1058"/>
              <w:jc w:val="left"/>
              <w:rPr>
                <w:rFonts w:ascii="Arial" w:hAnsi="Arial" w:cs="Arial"/>
                <w:b/>
                <w:sz w:val="18"/>
                <w:szCs w:val="18"/>
              </w:rPr>
            </w:pPr>
            <w:hyperlink r:id="rId14" w:history="1">
              <w:r w:rsidR="00D401F9" w:rsidRPr="005A3710">
                <w:rPr>
                  <w:rStyle w:val="Hyperlink"/>
                  <w:rFonts w:ascii="Arial" w:hAnsi="Arial" w:cs="Arial"/>
                  <w:sz w:val="18"/>
                  <w:szCs w:val="18"/>
                  <w:u w:val="none"/>
                </w:rPr>
                <w:t>www.congatec.com</w:t>
              </w:r>
            </w:hyperlink>
          </w:p>
        </w:tc>
        <w:tc>
          <w:tcPr>
            <w:tcW w:w="3118" w:type="dxa"/>
            <w:shd w:val="clear" w:color="auto" w:fill="auto"/>
          </w:tcPr>
          <w:p w:rsidR="00F76F29" w:rsidRPr="005A3710" w:rsidRDefault="00F76F29" w:rsidP="00C27445">
            <w:pPr>
              <w:pStyle w:val="Standard1"/>
              <w:snapToGrid w:val="0"/>
              <w:spacing w:line="276" w:lineRule="auto"/>
              <w:jc w:val="left"/>
              <w:rPr>
                <w:rFonts w:ascii="Arial" w:hAnsi="Arial" w:cs="Arial"/>
                <w:b/>
                <w:sz w:val="18"/>
                <w:szCs w:val="18"/>
              </w:rPr>
            </w:pPr>
            <w:r w:rsidRPr="005A3710">
              <w:rPr>
                <w:rFonts w:ascii="Arial" w:hAnsi="Arial" w:cs="Arial"/>
                <w:b/>
                <w:sz w:val="18"/>
                <w:szCs w:val="18"/>
              </w:rPr>
              <w:t>Pressekontakt:</w:t>
            </w:r>
          </w:p>
          <w:p w:rsidR="00D401F9" w:rsidRPr="005A3710" w:rsidRDefault="00D401F9" w:rsidP="00C27445">
            <w:pPr>
              <w:pStyle w:val="Standard1"/>
              <w:snapToGrid w:val="0"/>
              <w:spacing w:line="276" w:lineRule="auto"/>
              <w:jc w:val="left"/>
              <w:rPr>
                <w:rFonts w:ascii="Arial" w:hAnsi="Arial" w:cs="Arial"/>
                <w:sz w:val="18"/>
                <w:szCs w:val="18"/>
              </w:rPr>
            </w:pPr>
            <w:r w:rsidRPr="005A3710">
              <w:rPr>
                <w:rFonts w:ascii="Arial" w:hAnsi="Arial" w:cs="Arial"/>
                <w:sz w:val="18"/>
                <w:szCs w:val="18"/>
              </w:rPr>
              <w:t>SAMS Network</w:t>
            </w:r>
          </w:p>
          <w:p w:rsidR="00D401F9" w:rsidRPr="005A3710" w:rsidRDefault="00D401F9" w:rsidP="00C27445">
            <w:pPr>
              <w:pStyle w:val="Standard1"/>
              <w:snapToGrid w:val="0"/>
              <w:spacing w:line="276" w:lineRule="auto"/>
              <w:jc w:val="left"/>
              <w:rPr>
                <w:rFonts w:ascii="Arial" w:hAnsi="Arial" w:cs="Arial"/>
                <w:sz w:val="18"/>
                <w:szCs w:val="18"/>
              </w:rPr>
            </w:pPr>
            <w:r w:rsidRPr="005A3710">
              <w:rPr>
                <w:rFonts w:ascii="Arial" w:hAnsi="Arial" w:cs="Arial"/>
                <w:sz w:val="18"/>
                <w:szCs w:val="18"/>
              </w:rPr>
              <w:t>Michael Hennen</w:t>
            </w:r>
          </w:p>
          <w:p w:rsidR="00D401F9" w:rsidRPr="005A3710" w:rsidRDefault="00D401F9" w:rsidP="00C27445">
            <w:pPr>
              <w:pStyle w:val="Standard1"/>
              <w:snapToGrid w:val="0"/>
              <w:spacing w:line="276" w:lineRule="auto"/>
              <w:jc w:val="left"/>
              <w:rPr>
                <w:rFonts w:ascii="Arial" w:hAnsi="Arial" w:cs="Arial"/>
                <w:sz w:val="18"/>
                <w:szCs w:val="18"/>
              </w:rPr>
            </w:pPr>
            <w:r w:rsidRPr="005A3710">
              <w:rPr>
                <w:rFonts w:ascii="Arial" w:hAnsi="Arial" w:cs="Arial"/>
                <w:sz w:val="18"/>
                <w:szCs w:val="18"/>
              </w:rPr>
              <w:t>Telefon: +49-2405-4526720</w:t>
            </w:r>
          </w:p>
          <w:p w:rsidR="00D401F9" w:rsidRPr="005A3710" w:rsidRDefault="0099376E" w:rsidP="00C27445">
            <w:pPr>
              <w:pStyle w:val="Standard1"/>
              <w:snapToGrid w:val="0"/>
              <w:spacing w:line="276" w:lineRule="auto"/>
              <w:jc w:val="left"/>
              <w:rPr>
                <w:rFonts w:ascii="Arial" w:hAnsi="Arial" w:cs="Arial"/>
                <w:sz w:val="18"/>
                <w:szCs w:val="18"/>
              </w:rPr>
            </w:pPr>
            <w:hyperlink r:id="rId15" w:history="1">
              <w:r w:rsidR="00D401F9" w:rsidRPr="005A3710">
                <w:rPr>
                  <w:rStyle w:val="Hyperlink"/>
                  <w:rFonts w:ascii="Arial" w:hAnsi="Arial" w:cs="Arial"/>
                  <w:sz w:val="18"/>
                  <w:szCs w:val="18"/>
                  <w:u w:val="none"/>
                </w:rPr>
                <w:t>info@sams-network.com</w:t>
              </w:r>
            </w:hyperlink>
            <w:r w:rsidR="00D401F9" w:rsidRPr="005A3710">
              <w:rPr>
                <w:rFonts w:ascii="Arial" w:hAnsi="Arial" w:cs="Arial"/>
                <w:sz w:val="18"/>
                <w:szCs w:val="18"/>
              </w:rPr>
              <w:t xml:space="preserve"> </w:t>
            </w:r>
          </w:p>
          <w:p w:rsidR="00D401F9" w:rsidRPr="005A3710" w:rsidRDefault="0099376E" w:rsidP="00C27445">
            <w:pPr>
              <w:pStyle w:val="Standard1"/>
              <w:snapToGrid w:val="0"/>
              <w:spacing w:line="276" w:lineRule="auto"/>
              <w:jc w:val="left"/>
              <w:rPr>
                <w:rFonts w:ascii="Arial" w:hAnsi="Arial" w:cs="Arial"/>
                <w:b/>
                <w:sz w:val="18"/>
                <w:szCs w:val="18"/>
              </w:rPr>
            </w:pPr>
            <w:hyperlink r:id="rId16" w:history="1">
              <w:r w:rsidR="00D401F9" w:rsidRPr="005A3710">
                <w:rPr>
                  <w:rStyle w:val="Hyperlink"/>
                  <w:rFonts w:ascii="Arial" w:hAnsi="Arial" w:cs="Arial"/>
                  <w:sz w:val="18"/>
                  <w:szCs w:val="18"/>
                  <w:u w:val="none"/>
                </w:rPr>
                <w:t>www.sams-network.com</w:t>
              </w:r>
            </w:hyperlink>
          </w:p>
        </w:tc>
      </w:tr>
    </w:tbl>
    <w:p w:rsidR="0035632F" w:rsidRPr="00EE2731" w:rsidRDefault="0035632F" w:rsidP="00D2738E"/>
    <w:p w:rsidR="00957615" w:rsidRPr="00EE2731" w:rsidRDefault="00957615" w:rsidP="00C27445">
      <w:pPr>
        <w:pStyle w:val="Standard1"/>
        <w:ind w:right="283"/>
        <w:jc w:val="left"/>
        <w:rPr>
          <w:rFonts w:ascii="Arial" w:hAnsi="Arial" w:cs="Arial"/>
          <w:b/>
          <w:bCs/>
          <w:sz w:val="16"/>
          <w:szCs w:val="16"/>
        </w:rPr>
      </w:pPr>
      <w:r w:rsidRPr="00EE2731">
        <w:rPr>
          <w:rFonts w:ascii="Arial" w:hAnsi="Arial" w:cs="Arial"/>
          <w:b/>
          <w:bCs/>
          <w:sz w:val="16"/>
          <w:szCs w:val="16"/>
        </w:rPr>
        <w:t>Über congatec</w:t>
      </w:r>
    </w:p>
    <w:p w:rsidR="009C76DA" w:rsidRDefault="00957615" w:rsidP="00C27445">
      <w:pPr>
        <w:pStyle w:val="Standard1"/>
        <w:jc w:val="left"/>
        <w:rPr>
          <w:rFonts w:ascii="Arial" w:hAnsi="Arial" w:cs="Arial"/>
          <w:sz w:val="16"/>
          <w:szCs w:val="16"/>
        </w:rPr>
      </w:pPr>
      <w:r w:rsidRPr="00EE2731">
        <w:rPr>
          <w:rFonts w:ascii="Arial" w:hAnsi="Arial" w:cs="Arial"/>
          <w:sz w:val="16"/>
          <w:szCs w:val="16"/>
        </w:rPr>
        <w:lastRenderedPageBreak/>
        <w:t xml:space="preserve">congatec ist ein stark wachsendes Technologieunternehmen mit Fokus auf Embedded- und Edge-Computing-Produkte.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w:t>
      </w:r>
      <w:proofErr w:type="spellStart"/>
      <w:r w:rsidRPr="00EE2731">
        <w:rPr>
          <w:rFonts w:ascii="Arial" w:hAnsi="Arial" w:cs="Arial"/>
          <w:sz w:val="16"/>
          <w:szCs w:val="16"/>
        </w:rPr>
        <w:t>Mittelstandsfonds</w:t>
      </w:r>
      <w:proofErr w:type="spellEnd"/>
      <w:r w:rsidRPr="00EE2731">
        <w:rPr>
          <w:rFonts w:ascii="Arial" w:hAnsi="Arial" w:cs="Arial"/>
          <w:sz w:val="16"/>
          <w:szCs w:val="16"/>
        </w:rPr>
        <w:t xml:space="preserve"> mit Fokus auf wachsende Industrieunternehmen, verfügt congatec über die Finanzierungs- und M&amp;A Erfahrung, um diese expandierenden Marktchancen zu nutzen. Im Segment Computer-on-Module ist congatec globaler Marktführer mit einer exzellenten Kundenbasis von Start-</w:t>
      </w:r>
      <w:proofErr w:type="spellStart"/>
      <w:r w:rsidRPr="00EE2731">
        <w:rPr>
          <w:rFonts w:ascii="Arial" w:hAnsi="Arial" w:cs="Arial"/>
          <w:sz w:val="16"/>
          <w:szCs w:val="16"/>
        </w:rPr>
        <w:t>ups</w:t>
      </w:r>
      <w:proofErr w:type="spellEnd"/>
      <w:r w:rsidRPr="00EE2731">
        <w:rPr>
          <w:rFonts w:ascii="Arial" w:hAnsi="Arial" w:cs="Arial"/>
          <w:sz w:val="16"/>
          <w:szCs w:val="16"/>
        </w:rPr>
        <w:t xml:space="preserve"> bis zu internationalen Blue-Chip-Unternehmen. Das 2004 gegründete Unternehmen mit Sitz in Deggendorf erwirtschaftete 2019 einen Umsatz in Höhe von 126 Mio. US Dollar. Weitere Informationen finden Sie unter </w:t>
      </w:r>
      <w:hyperlink r:id="rId17" w:history="1">
        <w:r w:rsidRPr="00EE2731">
          <w:rPr>
            <w:rStyle w:val="Hyperlink"/>
            <w:rFonts w:ascii="Arial" w:eastAsiaTheme="majorEastAsia" w:hAnsi="Arial" w:cs="Arial"/>
            <w:sz w:val="16"/>
            <w:szCs w:val="16"/>
          </w:rPr>
          <w:t>www.congatec.de</w:t>
        </w:r>
      </w:hyperlink>
      <w:r w:rsidRPr="00EE2731">
        <w:rPr>
          <w:rFonts w:ascii="Arial" w:hAnsi="Arial" w:cs="Arial"/>
          <w:sz w:val="16"/>
          <w:szCs w:val="16"/>
        </w:rPr>
        <w:t xml:space="preserve"> oder bei </w:t>
      </w:r>
      <w:hyperlink r:id="rId18" w:history="1">
        <w:r w:rsidRPr="00EE2731">
          <w:rPr>
            <w:rStyle w:val="Hyperlink"/>
            <w:rFonts w:ascii="Arial" w:eastAsiaTheme="majorEastAsia" w:hAnsi="Arial" w:cs="Arial"/>
            <w:sz w:val="16"/>
            <w:szCs w:val="16"/>
          </w:rPr>
          <w:t>LinkedIn</w:t>
        </w:r>
      </w:hyperlink>
      <w:r w:rsidRPr="00EE2731">
        <w:rPr>
          <w:rFonts w:ascii="Arial" w:hAnsi="Arial" w:cs="Arial"/>
          <w:sz w:val="16"/>
          <w:szCs w:val="16"/>
        </w:rPr>
        <w:t xml:space="preserve">, </w:t>
      </w:r>
      <w:hyperlink r:id="rId19" w:history="1">
        <w:r w:rsidRPr="00EE2731">
          <w:rPr>
            <w:rStyle w:val="Hyperlink"/>
            <w:rFonts w:ascii="Arial" w:eastAsiaTheme="majorEastAsia" w:hAnsi="Arial" w:cs="Arial"/>
            <w:sz w:val="16"/>
            <w:szCs w:val="16"/>
          </w:rPr>
          <w:t>Twitter</w:t>
        </w:r>
      </w:hyperlink>
      <w:r w:rsidRPr="00EE2731">
        <w:rPr>
          <w:rFonts w:ascii="Arial" w:hAnsi="Arial" w:cs="Arial"/>
          <w:sz w:val="16"/>
          <w:szCs w:val="16"/>
        </w:rPr>
        <w:t xml:space="preserve"> und </w:t>
      </w:r>
      <w:hyperlink r:id="rId20" w:history="1">
        <w:r w:rsidRPr="00EE2731">
          <w:rPr>
            <w:rStyle w:val="Hyperlink"/>
            <w:rFonts w:ascii="Arial" w:eastAsiaTheme="majorEastAsia" w:hAnsi="Arial" w:cs="Arial"/>
            <w:sz w:val="16"/>
            <w:szCs w:val="16"/>
          </w:rPr>
          <w:t>YouTube</w:t>
        </w:r>
      </w:hyperlink>
      <w:r w:rsidRPr="00EE2731">
        <w:rPr>
          <w:rFonts w:ascii="Arial" w:hAnsi="Arial" w:cs="Arial"/>
          <w:sz w:val="16"/>
          <w:szCs w:val="16"/>
        </w:rPr>
        <w:t>.</w:t>
      </w:r>
    </w:p>
    <w:p w:rsidR="006B6CF0" w:rsidRDefault="006B6CF0" w:rsidP="00D2738E"/>
    <w:p w:rsidR="006B6CF0" w:rsidRPr="009C76DA" w:rsidRDefault="006B6CF0" w:rsidP="006B6CF0">
      <w:pPr>
        <w:pStyle w:val="Standard1"/>
        <w:rPr>
          <w:rFonts w:ascii="Arial" w:hAnsi="Arial" w:cs="Arial"/>
          <w:i/>
          <w:iCs/>
          <w:sz w:val="16"/>
          <w:szCs w:val="16"/>
        </w:rPr>
      </w:pPr>
      <w:r>
        <w:rPr>
          <w:rFonts w:ascii="Arial" w:hAnsi="Arial" w:cs="Arial"/>
          <w:i/>
          <w:iCs/>
          <w:sz w:val="16"/>
          <w:szCs w:val="16"/>
        </w:rPr>
        <w:t>Intel</w:t>
      </w:r>
      <w:r w:rsidR="00F5326D">
        <w:rPr>
          <w:rFonts w:ascii="Arial" w:hAnsi="Arial" w:cs="Arial"/>
          <w:i/>
          <w:iCs/>
          <w:sz w:val="16"/>
          <w:szCs w:val="16"/>
        </w:rPr>
        <w:t>, Celeron</w:t>
      </w:r>
      <w:r>
        <w:rPr>
          <w:rFonts w:ascii="Arial" w:hAnsi="Arial" w:cs="Arial"/>
          <w:i/>
          <w:iCs/>
          <w:sz w:val="16"/>
          <w:szCs w:val="16"/>
        </w:rPr>
        <w:t xml:space="preserve"> und </w:t>
      </w:r>
      <w:r w:rsidRPr="00EE2731">
        <w:rPr>
          <w:rFonts w:ascii="Arial" w:hAnsi="Arial" w:cs="Arial"/>
          <w:i/>
          <w:iCs/>
          <w:sz w:val="16"/>
          <w:szCs w:val="16"/>
        </w:rPr>
        <w:t>Core sind Handelsmarken oder eingetragene Warenzeichen der Intel Corporation in den USA und anderen Ländern</w:t>
      </w:r>
    </w:p>
    <w:p w:rsidR="006B6CF0" w:rsidRPr="00610A48" w:rsidRDefault="006B6CF0" w:rsidP="00C27445">
      <w:pPr>
        <w:pStyle w:val="Standard1"/>
        <w:jc w:val="left"/>
        <w:rPr>
          <w:rFonts w:ascii="Arial" w:hAnsi="Arial" w:cs="Arial"/>
          <w:sz w:val="16"/>
          <w:szCs w:val="16"/>
        </w:rPr>
      </w:pPr>
    </w:p>
    <w:sectPr w:rsidR="006B6CF0" w:rsidRPr="00610A48" w:rsidSect="00B62671">
      <w:headerReference w:type="default" r:id="rId21"/>
      <w:footerReference w:type="default" r:id="rId22"/>
      <w:pgSz w:w="11906" w:h="16838"/>
      <w:pgMar w:top="1247" w:right="1701" w:bottom="1134" w:left="1418" w:header="0"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D58B29" w15:done="0"/>
  <w15:commentEx w15:paraId="38987960" w15:done="0"/>
  <w15:commentEx w15:paraId="31D5602A" w15:done="0"/>
  <w15:commentEx w15:paraId="4C7525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58B29" w16cid:durableId="23E1E776"/>
  <w16cid:commentId w16cid:paraId="38987960" w16cid:durableId="23E1DE40"/>
  <w16cid:commentId w16cid:paraId="31D5602A" w16cid:durableId="23E1E73E"/>
  <w16cid:commentId w16cid:paraId="4C75250D" w16cid:durableId="23E1DE4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C38" w:rsidRDefault="00D67C38" w:rsidP="00D97483">
      <w:r>
        <w:separator/>
      </w:r>
    </w:p>
  </w:endnote>
  <w:endnote w:type="continuationSeparator" w:id="0">
    <w:p w:rsidR="00D67C38" w:rsidRDefault="00D67C38" w:rsidP="00D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C38" w:rsidRDefault="00D67C38" w:rsidP="00D07129">
    <w:pPr>
      <w:pStyle w:val="Standard1"/>
      <w:ind w:right="283"/>
      <w:rPr>
        <w:rFonts w:ascii="Arial" w:hAnsi="Arial" w:cs="Arial"/>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C38" w:rsidRDefault="00D67C38" w:rsidP="00D97483">
      <w:r>
        <w:separator/>
      </w:r>
    </w:p>
  </w:footnote>
  <w:footnote w:type="continuationSeparator" w:id="0">
    <w:p w:rsidR="00D67C38" w:rsidRDefault="00D67C38" w:rsidP="00D97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C38" w:rsidRDefault="00D67C38" w:rsidP="005A3710">
    <w:pPr>
      <w:pStyle w:val="Pressemitteilung"/>
      <w:spacing w:before="0" w:after="0" w:line="240" w:lineRule="auto"/>
      <w:jc w:val="right"/>
      <w:rPr>
        <w:rFonts w:cs="Arial"/>
        <w:sz w:val="20"/>
      </w:rPr>
    </w:pPr>
  </w:p>
  <w:p w:rsidR="00D67C38" w:rsidRDefault="00D67C38" w:rsidP="005A3710">
    <w:pPr>
      <w:pStyle w:val="Pressemitteilung"/>
      <w:spacing w:before="0" w:after="0" w:line="240" w:lineRule="auto"/>
      <w:jc w:val="right"/>
      <w:rPr>
        <w:rFonts w:cs="Arial"/>
        <w:sz w:val="20"/>
      </w:rPr>
    </w:pPr>
  </w:p>
  <w:p w:rsidR="00D67C38" w:rsidRDefault="00D67C38" w:rsidP="005A3710">
    <w:pPr>
      <w:pStyle w:val="Pressemitteilung"/>
      <w:spacing w:before="0" w:after="0" w:line="240" w:lineRule="auto"/>
      <w:jc w:val="right"/>
      <w:rPr>
        <w:rFonts w:cs="Arial"/>
        <w:sz w:val="20"/>
      </w:rPr>
    </w:pPr>
  </w:p>
  <w:p w:rsidR="00D67C38" w:rsidRDefault="00D67C38" w:rsidP="005A3710">
    <w:pPr>
      <w:pStyle w:val="Pressemitteilung"/>
      <w:spacing w:before="0" w:after="0" w:line="240" w:lineRule="auto"/>
      <w:jc w:val="right"/>
      <w:rPr>
        <w:rFonts w:cs="Arial"/>
        <w:sz w:val="20"/>
      </w:rPr>
    </w:pPr>
  </w:p>
  <w:p w:rsidR="00D67C38" w:rsidRDefault="00D67C38" w:rsidP="005A3710">
    <w:pPr>
      <w:pStyle w:val="Pressemitteilung"/>
      <w:spacing w:before="0" w:after="0" w:line="240" w:lineRule="auto"/>
      <w:jc w:val="right"/>
      <w:rPr>
        <w:rFonts w:cs="Arial"/>
        <w:sz w:val="20"/>
      </w:rPr>
    </w:pPr>
  </w:p>
  <w:p w:rsidR="00D67C38" w:rsidRDefault="00D67C38" w:rsidP="005A3710">
    <w:pPr>
      <w:pStyle w:val="Pressemitteilung"/>
      <w:spacing w:before="0" w:after="0" w:line="240" w:lineRule="auto"/>
      <w:jc w:val="right"/>
      <w:rPr>
        <w:rFonts w:cs="Arial"/>
        <w:sz w:val="20"/>
      </w:rPr>
    </w:pPr>
  </w:p>
  <w:p w:rsidR="00D67C38" w:rsidRDefault="00D67C38" w:rsidP="005A3710">
    <w:pPr>
      <w:pStyle w:val="Pressemitteilung"/>
      <w:spacing w:before="0" w:after="0" w:line="240" w:lineRule="auto"/>
      <w:jc w:val="right"/>
      <w:rPr>
        <w:rFonts w:cs="Arial"/>
        <w:sz w:val="20"/>
      </w:rPr>
    </w:pPr>
  </w:p>
  <w:p w:rsidR="00D67C38" w:rsidRDefault="00D67C38" w:rsidP="005A3710">
    <w:pPr>
      <w:pStyle w:val="Pressemitteilung"/>
      <w:spacing w:before="0" w:after="0" w:line="240" w:lineRule="auto"/>
      <w:jc w:val="right"/>
      <w:rPr>
        <w:rFonts w:cs="Arial"/>
        <w:sz w:val="20"/>
      </w:rPr>
    </w:pPr>
  </w:p>
  <w:p w:rsidR="00D67C38" w:rsidRDefault="00D67C38" w:rsidP="005A3710">
    <w:pPr>
      <w:pStyle w:val="Pressemitteilung"/>
      <w:spacing w:before="0" w:after="0" w:line="240" w:lineRule="auto"/>
      <w:jc w:val="right"/>
      <w:rPr>
        <w:rFonts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CC67D6B"/>
    <w:multiLevelType w:val="hybridMultilevel"/>
    <w:tmpl w:val="91DC1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7B666D"/>
    <w:multiLevelType w:val="hybridMultilevel"/>
    <w:tmpl w:val="437AF60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308D3CEE"/>
    <w:multiLevelType w:val="hybridMultilevel"/>
    <w:tmpl w:val="4A90C5AC"/>
    <w:lvl w:ilvl="0" w:tplc="00AE8FC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nsid w:val="54F51081"/>
    <w:multiLevelType w:val="hybridMultilevel"/>
    <w:tmpl w:val="2F680A8E"/>
    <w:lvl w:ilvl="0" w:tplc="00AE8F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6"/>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ot Saller">
    <w15:presenceInfo w15:providerId="AD" w15:userId="S::Margot.Saller@congatec.com::0dbaea1f-8fcd-4d14-97e3-5a9f3a6fd5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D108AC"/>
    <w:rsid w:val="00003FA7"/>
    <w:rsid w:val="00006D58"/>
    <w:rsid w:val="00010369"/>
    <w:rsid w:val="00010745"/>
    <w:rsid w:val="00021457"/>
    <w:rsid w:val="00027983"/>
    <w:rsid w:val="000355AD"/>
    <w:rsid w:val="00035738"/>
    <w:rsid w:val="00042600"/>
    <w:rsid w:val="00043787"/>
    <w:rsid w:val="00045E58"/>
    <w:rsid w:val="00047E06"/>
    <w:rsid w:val="00050C80"/>
    <w:rsid w:val="000553FB"/>
    <w:rsid w:val="0006483E"/>
    <w:rsid w:val="00074F95"/>
    <w:rsid w:val="00086C00"/>
    <w:rsid w:val="0009529F"/>
    <w:rsid w:val="00096758"/>
    <w:rsid w:val="0009734E"/>
    <w:rsid w:val="000974B3"/>
    <w:rsid w:val="000A1392"/>
    <w:rsid w:val="000A30F4"/>
    <w:rsid w:val="000A394C"/>
    <w:rsid w:val="000A4662"/>
    <w:rsid w:val="000A4B1D"/>
    <w:rsid w:val="000B53F9"/>
    <w:rsid w:val="000B6F0B"/>
    <w:rsid w:val="000C0962"/>
    <w:rsid w:val="000D66D4"/>
    <w:rsid w:val="000D68BA"/>
    <w:rsid w:val="000E2307"/>
    <w:rsid w:val="000E2B56"/>
    <w:rsid w:val="000E395C"/>
    <w:rsid w:val="000E736A"/>
    <w:rsid w:val="000F15EB"/>
    <w:rsid w:val="000F34E8"/>
    <w:rsid w:val="00100CE2"/>
    <w:rsid w:val="00101DF6"/>
    <w:rsid w:val="00105BFE"/>
    <w:rsid w:val="0011134D"/>
    <w:rsid w:val="00123D77"/>
    <w:rsid w:val="00126923"/>
    <w:rsid w:val="00132DD8"/>
    <w:rsid w:val="00135EBC"/>
    <w:rsid w:val="00136E20"/>
    <w:rsid w:val="0014653E"/>
    <w:rsid w:val="0014730F"/>
    <w:rsid w:val="00157343"/>
    <w:rsid w:val="00175EB3"/>
    <w:rsid w:val="00181222"/>
    <w:rsid w:val="00184D6F"/>
    <w:rsid w:val="001854B5"/>
    <w:rsid w:val="00187AFE"/>
    <w:rsid w:val="00191F41"/>
    <w:rsid w:val="001A277C"/>
    <w:rsid w:val="001B0700"/>
    <w:rsid w:val="001B19E2"/>
    <w:rsid w:val="001B5A0C"/>
    <w:rsid w:val="001B6B34"/>
    <w:rsid w:val="001C0038"/>
    <w:rsid w:val="001D055C"/>
    <w:rsid w:val="001E2E5F"/>
    <w:rsid w:val="001E3D01"/>
    <w:rsid w:val="001E4FB1"/>
    <w:rsid w:val="001E7371"/>
    <w:rsid w:val="002065F2"/>
    <w:rsid w:val="00212286"/>
    <w:rsid w:val="00223722"/>
    <w:rsid w:val="00231F74"/>
    <w:rsid w:val="002368AC"/>
    <w:rsid w:val="002376DB"/>
    <w:rsid w:val="002571A3"/>
    <w:rsid w:val="0025796B"/>
    <w:rsid w:val="00265C83"/>
    <w:rsid w:val="0026670B"/>
    <w:rsid w:val="00286CC1"/>
    <w:rsid w:val="002872D2"/>
    <w:rsid w:val="00292D50"/>
    <w:rsid w:val="0029792A"/>
    <w:rsid w:val="00297A5C"/>
    <w:rsid w:val="002A1662"/>
    <w:rsid w:val="002A7A02"/>
    <w:rsid w:val="002B14DE"/>
    <w:rsid w:val="002B4B21"/>
    <w:rsid w:val="002B5DD9"/>
    <w:rsid w:val="002B7A83"/>
    <w:rsid w:val="002C28DA"/>
    <w:rsid w:val="002C6553"/>
    <w:rsid w:val="002C6A1D"/>
    <w:rsid w:val="002D3981"/>
    <w:rsid w:val="002D3F17"/>
    <w:rsid w:val="002D56A3"/>
    <w:rsid w:val="002E333A"/>
    <w:rsid w:val="002F035E"/>
    <w:rsid w:val="002F066A"/>
    <w:rsid w:val="002F16A9"/>
    <w:rsid w:val="002F1A60"/>
    <w:rsid w:val="002F2955"/>
    <w:rsid w:val="002F6466"/>
    <w:rsid w:val="00300096"/>
    <w:rsid w:val="00311214"/>
    <w:rsid w:val="00316678"/>
    <w:rsid w:val="00331264"/>
    <w:rsid w:val="0033387F"/>
    <w:rsid w:val="00333EB3"/>
    <w:rsid w:val="00334450"/>
    <w:rsid w:val="0033610A"/>
    <w:rsid w:val="00336657"/>
    <w:rsid w:val="0034162E"/>
    <w:rsid w:val="0034266E"/>
    <w:rsid w:val="00345C87"/>
    <w:rsid w:val="00353C44"/>
    <w:rsid w:val="0035632F"/>
    <w:rsid w:val="003565FD"/>
    <w:rsid w:val="00360338"/>
    <w:rsid w:val="00361541"/>
    <w:rsid w:val="003674FC"/>
    <w:rsid w:val="00371CDB"/>
    <w:rsid w:val="00381183"/>
    <w:rsid w:val="003839C2"/>
    <w:rsid w:val="003853EC"/>
    <w:rsid w:val="00385A11"/>
    <w:rsid w:val="00386E85"/>
    <w:rsid w:val="00394EEA"/>
    <w:rsid w:val="003A0171"/>
    <w:rsid w:val="003A6E23"/>
    <w:rsid w:val="003A7091"/>
    <w:rsid w:val="003B002F"/>
    <w:rsid w:val="003B7234"/>
    <w:rsid w:val="003B7808"/>
    <w:rsid w:val="003C513C"/>
    <w:rsid w:val="003D0210"/>
    <w:rsid w:val="003D4675"/>
    <w:rsid w:val="003D5ED4"/>
    <w:rsid w:val="003E397A"/>
    <w:rsid w:val="003E6413"/>
    <w:rsid w:val="003E64B3"/>
    <w:rsid w:val="003F3269"/>
    <w:rsid w:val="003F62FC"/>
    <w:rsid w:val="00406DD0"/>
    <w:rsid w:val="00413FB9"/>
    <w:rsid w:val="00431604"/>
    <w:rsid w:val="00431F25"/>
    <w:rsid w:val="00443C7F"/>
    <w:rsid w:val="00446472"/>
    <w:rsid w:val="00450667"/>
    <w:rsid w:val="00450C5C"/>
    <w:rsid w:val="00451C75"/>
    <w:rsid w:val="00451E34"/>
    <w:rsid w:val="004614E6"/>
    <w:rsid w:val="00462316"/>
    <w:rsid w:val="00466A57"/>
    <w:rsid w:val="0047569F"/>
    <w:rsid w:val="00475771"/>
    <w:rsid w:val="00476500"/>
    <w:rsid w:val="00480CD4"/>
    <w:rsid w:val="004841F7"/>
    <w:rsid w:val="0048544A"/>
    <w:rsid w:val="00490E6A"/>
    <w:rsid w:val="004930EB"/>
    <w:rsid w:val="00496605"/>
    <w:rsid w:val="004A2EEC"/>
    <w:rsid w:val="004A6525"/>
    <w:rsid w:val="004B1541"/>
    <w:rsid w:val="004B4B85"/>
    <w:rsid w:val="004D2177"/>
    <w:rsid w:val="004D2B4D"/>
    <w:rsid w:val="004D3BA0"/>
    <w:rsid w:val="004D7F6A"/>
    <w:rsid w:val="004F08CB"/>
    <w:rsid w:val="00514F75"/>
    <w:rsid w:val="005168E6"/>
    <w:rsid w:val="00522C21"/>
    <w:rsid w:val="00527922"/>
    <w:rsid w:val="005368EB"/>
    <w:rsid w:val="00540057"/>
    <w:rsid w:val="0054282C"/>
    <w:rsid w:val="005502A5"/>
    <w:rsid w:val="0055046D"/>
    <w:rsid w:val="0055155D"/>
    <w:rsid w:val="00556CFB"/>
    <w:rsid w:val="0055706B"/>
    <w:rsid w:val="005674E1"/>
    <w:rsid w:val="0058053F"/>
    <w:rsid w:val="005876A1"/>
    <w:rsid w:val="005905AA"/>
    <w:rsid w:val="005A3710"/>
    <w:rsid w:val="005A656D"/>
    <w:rsid w:val="005B031E"/>
    <w:rsid w:val="005B049C"/>
    <w:rsid w:val="005B4653"/>
    <w:rsid w:val="005C35E2"/>
    <w:rsid w:val="005C585A"/>
    <w:rsid w:val="005C619E"/>
    <w:rsid w:val="005C6F13"/>
    <w:rsid w:val="005D2D52"/>
    <w:rsid w:val="005E03EB"/>
    <w:rsid w:val="005E2474"/>
    <w:rsid w:val="005E401C"/>
    <w:rsid w:val="005F08FF"/>
    <w:rsid w:val="005F1760"/>
    <w:rsid w:val="005F2D01"/>
    <w:rsid w:val="005F7CEF"/>
    <w:rsid w:val="00600860"/>
    <w:rsid w:val="006061F7"/>
    <w:rsid w:val="00606A72"/>
    <w:rsid w:val="00610A48"/>
    <w:rsid w:val="006142D4"/>
    <w:rsid w:val="00623BD6"/>
    <w:rsid w:val="00625E49"/>
    <w:rsid w:val="006269A4"/>
    <w:rsid w:val="00627B30"/>
    <w:rsid w:val="00630751"/>
    <w:rsid w:val="00631851"/>
    <w:rsid w:val="00635478"/>
    <w:rsid w:val="00640D57"/>
    <w:rsid w:val="00640FFB"/>
    <w:rsid w:val="0064417B"/>
    <w:rsid w:val="00650D54"/>
    <w:rsid w:val="006578A1"/>
    <w:rsid w:val="00662AB5"/>
    <w:rsid w:val="00664028"/>
    <w:rsid w:val="00667B3E"/>
    <w:rsid w:val="0067240C"/>
    <w:rsid w:val="00673527"/>
    <w:rsid w:val="00685B9D"/>
    <w:rsid w:val="00690ECD"/>
    <w:rsid w:val="006933FE"/>
    <w:rsid w:val="0069359A"/>
    <w:rsid w:val="006A1238"/>
    <w:rsid w:val="006A1254"/>
    <w:rsid w:val="006A3CB0"/>
    <w:rsid w:val="006A6542"/>
    <w:rsid w:val="006B0EE9"/>
    <w:rsid w:val="006B6CF0"/>
    <w:rsid w:val="006C3B8A"/>
    <w:rsid w:val="006C45B4"/>
    <w:rsid w:val="006D162D"/>
    <w:rsid w:val="006E3A49"/>
    <w:rsid w:val="006E3B67"/>
    <w:rsid w:val="006E4456"/>
    <w:rsid w:val="006E78FC"/>
    <w:rsid w:val="006E7CDD"/>
    <w:rsid w:val="006F11FC"/>
    <w:rsid w:val="006F2F40"/>
    <w:rsid w:val="006F35F5"/>
    <w:rsid w:val="006F6952"/>
    <w:rsid w:val="00703F23"/>
    <w:rsid w:val="00706359"/>
    <w:rsid w:val="00706CDC"/>
    <w:rsid w:val="007074D1"/>
    <w:rsid w:val="00730753"/>
    <w:rsid w:val="00735FC8"/>
    <w:rsid w:val="007372D4"/>
    <w:rsid w:val="00740CE2"/>
    <w:rsid w:val="00745D08"/>
    <w:rsid w:val="00745E4D"/>
    <w:rsid w:val="00747135"/>
    <w:rsid w:val="00747A2A"/>
    <w:rsid w:val="00751A5C"/>
    <w:rsid w:val="007527B5"/>
    <w:rsid w:val="00753991"/>
    <w:rsid w:val="00765B08"/>
    <w:rsid w:val="00767A44"/>
    <w:rsid w:val="00771AFC"/>
    <w:rsid w:val="0077601C"/>
    <w:rsid w:val="00776AE3"/>
    <w:rsid w:val="00784949"/>
    <w:rsid w:val="0078770A"/>
    <w:rsid w:val="007923DD"/>
    <w:rsid w:val="0079344C"/>
    <w:rsid w:val="00793D03"/>
    <w:rsid w:val="007A073A"/>
    <w:rsid w:val="007A1EAB"/>
    <w:rsid w:val="007A3A88"/>
    <w:rsid w:val="007B794A"/>
    <w:rsid w:val="007C46E3"/>
    <w:rsid w:val="007C5914"/>
    <w:rsid w:val="007D1C15"/>
    <w:rsid w:val="007E0AEB"/>
    <w:rsid w:val="007E5156"/>
    <w:rsid w:val="007E752C"/>
    <w:rsid w:val="007F3D6F"/>
    <w:rsid w:val="00800B73"/>
    <w:rsid w:val="008014CA"/>
    <w:rsid w:val="008021E1"/>
    <w:rsid w:val="0080538D"/>
    <w:rsid w:val="008119CB"/>
    <w:rsid w:val="00815A0F"/>
    <w:rsid w:val="0082049A"/>
    <w:rsid w:val="00823404"/>
    <w:rsid w:val="00831B85"/>
    <w:rsid w:val="00832012"/>
    <w:rsid w:val="008326A9"/>
    <w:rsid w:val="00835D8A"/>
    <w:rsid w:val="008417D5"/>
    <w:rsid w:val="00841B78"/>
    <w:rsid w:val="00842166"/>
    <w:rsid w:val="00843FE7"/>
    <w:rsid w:val="00846053"/>
    <w:rsid w:val="00846888"/>
    <w:rsid w:val="00847678"/>
    <w:rsid w:val="00855286"/>
    <w:rsid w:val="00860251"/>
    <w:rsid w:val="00881537"/>
    <w:rsid w:val="00881673"/>
    <w:rsid w:val="00881B43"/>
    <w:rsid w:val="0088225E"/>
    <w:rsid w:val="008851D2"/>
    <w:rsid w:val="00886219"/>
    <w:rsid w:val="00890CB5"/>
    <w:rsid w:val="00896530"/>
    <w:rsid w:val="00897D1F"/>
    <w:rsid w:val="008A3AC6"/>
    <w:rsid w:val="008B4A04"/>
    <w:rsid w:val="008C012F"/>
    <w:rsid w:val="008C136D"/>
    <w:rsid w:val="008D24CD"/>
    <w:rsid w:val="008E5A1D"/>
    <w:rsid w:val="008F0184"/>
    <w:rsid w:val="008F54B5"/>
    <w:rsid w:val="008F70A2"/>
    <w:rsid w:val="009006A2"/>
    <w:rsid w:val="009055B3"/>
    <w:rsid w:val="00911950"/>
    <w:rsid w:val="00915B34"/>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67BD7"/>
    <w:rsid w:val="009702BE"/>
    <w:rsid w:val="0097120A"/>
    <w:rsid w:val="00976F6B"/>
    <w:rsid w:val="00983A26"/>
    <w:rsid w:val="00983B6D"/>
    <w:rsid w:val="00986868"/>
    <w:rsid w:val="0098707E"/>
    <w:rsid w:val="00987AB5"/>
    <w:rsid w:val="0099011F"/>
    <w:rsid w:val="009915D7"/>
    <w:rsid w:val="00991C13"/>
    <w:rsid w:val="00992104"/>
    <w:rsid w:val="0099376E"/>
    <w:rsid w:val="00995631"/>
    <w:rsid w:val="00996FD1"/>
    <w:rsid w:val="009977CF"/>
    <w:rsid w:val="009A0ADE"/>
    <w:rsid w:val="009A10EE"/>
    <w:rsid w:val="009A5657"/>
    <w:rsid w:val="009A6289"/>
    <w:rsid w:val="009B280B"/>
    <w:rsid w:val="009B4B6B"/>
    <w:rsid w:val="009B6E8A"/>
    <w:rsid w:val="009C2318"/>
    <w:rsid w:val="009C65B6"/>
    <w:rsid w:val="009C67E6"/>
    <w:rsid w:val="009C76DA"/>
    <w:rsid w:val="009D595E"/>
    <w:rsid w:val="009E3A63"/>
    <w:rsid w:val="009E5E22"/>
    <w:rsid w:val="009F1BCA"/>
    <w:rsid w:val="009F1E40"/>
    <w:rsid w:val="009F4667"/>
    <w:rsid w:val="009F5C8A"/>
    <w:rsid w:val="00A12150"/>
    <w:rsid w:val="00A12F2D"/>
    <w:rsid w:val="00A171BD"/>
    <w:rsid w:val="00A31844"/>
    <w:rsid w:val="00A31EE8"/>
    <w:rsid w:val="00A342D1"/>
    <w:rsid w:val="00A44F2E"/>
    <w:rsid w:val="00A4732D"/>
    <w:rsid w:val="00A54FB5"/>
    <w:rsid w:val="00A61518"/>
    <w:rsid w:val="00A634ED"/>
    <w:rsid w:val="00A67A16"/>
    <w:rsid w:val="00A8157E"/>
    <w:rsid w:val="00A863AE"/>
    <w:rsid w:val="00A906AA"/>
    <w:rsid w:val="00A90AE1"/>
    <w:rsid w:val="00A94832"/>
    <w:rsid w:val="00AA5C4C"/>
    <w:rsid w:val="00AB3308"/>
    <w:rsid w:val="00AB6EDF"/>
    <w:rsid w:val="00AD2B3D"/>
    <w:rsid w:val="00AD560F"/>
    <w:rsid w:val="00AD6B52"/>
    <w:rsid w:val="00AE3998"/>
    <w:rsid w:val="00AE6368"/>
    <w:rsid w:val="00AF60DB"/>
    <w:rsid w:val="00B000CE"/>
    <w:rsid w:val="00B0389C"/>
    <w:rsid w:val="00B14955"/>
    <w:rsid w:val="00B14B81"/>
    <w:rsid w:val="00B2216B"/>
    <w:rsid w:val="00B33182"/>
    <w:rsid w:val="00B37B7A"/>
    <w:rsid w:val="00B416C3"/>
    <w:rsid w:val="00B515F0"/>
    <w:rsid w:val="00B56D4A"/>
    <w:rsid w:val="00B62671"/>
    <w:rsid w:val="00B638FF"/>
    <w:rsid w:val="00B74386"/>
    <w:rsid w:val="00B76850"/>
    <w:rsid w:val="00B845D4"/>
    <w:rsid w:val="00B86632"/>
    <w:rsid w:val="00B86D2C"/>
    <w:rsid w:val="00B8731A"/>
    <w:rsid w:val="00B93BA5"/>
    <w:rsid w:val="00B94688"/>
    <w:rsid w:val="00B95301"/>
    <w:rsid w:val="00B96ED0"/>
    <w:rsid w:val="00BA1CB0"/>
    <w:rsid w:val="00BA5EC5"/>
    <w:rsid w:val="00BA651B"/>
    <w:rsid w:val="00BB3BA7"/>
    <w:rsid w:val="00BB6316"/>
    <w:rsid w:val="00BD007C"/>
    <w:rsid w:val="00BD26D1"/>
    <w:rsid w:val="00BD4A92"/>
    <w:rsid w:val="00BE2559"/>
    <w:rsid w:val="00BE6A4C"/>
    <w:rsid w:val="00BF2821"/>
    <w:rsid w:val="00C0557B"/>
    <w:rsid w:val="00C056E8"/>
    <w:rsid w:val="00C07938"/>
    <w:rsid w:val="00C1056E"/>
    <w:rsid w:val="00C1254F"/>
    <w:rsid w:val="00C16AA1"/>
    <w:rsid w:val="00C178C8"/>
    <w:rsid w:val="00C25E9F"/>
    <w:rsid w:val="00C27445"/>
    <w:rsid w:val="00C42100"/>
    <w:rsid w:val="00C51840"/>
    <w:rsid w:val="00C519AC"/>
    <w:rsid w:val="00C67E97"/>
    <w:rsid w:val="00C800B7"/>
    <w:rsid w:val="00C80E04"/>
    <w:rsid w:val="00C83D12"/>
    <w:rsid w:val="00C87AB3"/>
    <w:rsid w:val="00C958C5"/>
    <w:rsid w:val="00C9595F"/>
    <w:rsid w:val="00C96F92"/>
    <w:rsid w:val="00CA0D75"/>
    <w:rsid w:val="00CA169C"/>
    <w:rsid w:val="00CA5BBA"/>
    <w:rsid w:val="00CB3F57"/>
    <w:rsid w:val="00CB4A50"/>
    <w:rsid w:val="00CB4D4E"/>
    <w:rsid w:val="00CC0AA6"/>
    <w:rsid w:val="00CC137C"/>
    <w:rsid w:val="00CC5773"/>
    <w:rsid w:val="00CD19EC"/>
    <w:rsid w:val="00CD3B59"/>
    <w:rsid w:val="00CD6592"/>
    <w:rsid w:val="00CE2C7F"/>
    <w:rsid w:val="00CE3C20"/>
    <w:rsid w:val="00CE495B"/>
    <w:rsid w:val="00CF0B0F"/>
    <w:rsid w:val="00CF2C1D"/>
    <w:rsid w:val="00D00E35"/>
    <w:rsid w:val="00D03022"/>
    <w:rsid w:val="00D03C82"/>
    <w:rsid w:val="00D07129"/>
    <w:rsid w:val="00D108AC"/>
    <w:rsid w:val="00D10AA2"/>
    <w:rsid w:val="00D1421C"/>
    <w:rsid w:val="00D22DCD"/>
    <w:rsid w:val="00D2568D"/>
    <w:rsid w:val="00D26CA7"/>
    <w:rsid w:val="00D2738E"/>
    <w:rsid w:val="00D300FD"/>
    <w:rsid w:val="00D308A6"/>
    <w:rsid w:val="00D37EFC"/>
    <w:rsid w:val="00D401F9"/>
    <w:rsid w:val="00D4045F"/>
    <w:rsid w:val="00D406F4"/>
    <w:rsid w:val="00D4310E"/>
    <w:rsid w:val="00D44BFF"/>
    <w:rsid w:val="00D46A23"/>
    <w:rsid w:val="00D514B5"/>
    <w:rsid w:val="00D5329A"/>
    <w:rsid w:val="00D6303C"/>
    <w:rsid w:val="00D65D4F"/>
    <w:rsid w:val="00D66622"/>
    <w:rsid w:val="00D67C38"/>
    <w:rsid w:val="00D75EA8"/>
    <w:rsid w:val="00D82DFF"/>
    <w:rsid w:val="00D97483"/>
    <w:rsid w:val="00DA2F1F"/>
    <w:rsid w:val="00DA4058"/>
    <w:rsid w:val="00DA4873"/>
    <w:rsid w:val="00DA57D6"/>
    <w:rsid w:val="00DB7A3D"/>
    <w:rsid w:val="00DC3A6C"/>
    <w:rsid w:val="00DC3B55"/>
    <w:rsid w:val="00DC7155"/>
    <w:rsid w:val="00DE14B9"/>
    <w:rsid w:val="00DE150B"/>
    <w:rsid w:val="00DE2A02"/>
    <w:rsid w:val="00DF42D0"/>
    <w:rsid w:val="00DF642F"/>
    <w:rsid w:val="00E018BE"/>
    <w:rsid w:val="00E0599D"/>
    <w:rsid w:val="00E06489"/>
    <w:rsid w:val="00E077EE"/>
    <w:rsid w:val="00E12255"/>
    <w:rsid w:val="00E20D63"/>
    <w:rsid w:val="00E2429A"/>
    <w:rsid w:val="00E27999"/>
    <w:rsid w:val="00E27A16"/>
    <w:rsid w:val="00E36DD7"/>
    <w:rsid w:val="00E403CC"/>
    <w:rsid w:val="00E529F9"/>
    <w:rsid w:val="00E5322D"/>
    <w:rsid w:val="00E55D4E"/>
    <w:rsid w:val="00E6142F"/>
    <w:rsid w:val="00E61991"/>
    <w:rsid w:val="00E6293B"/>
    <w:rsid w:val="00E660F8"/>
    <w:rsid w:val="00E6752E"/>
    <w:rsid w:val="00E743D2"/>
    <w:rsid w:val="00E8535F"/>
    <w:rsid w:val="00E91D8A"/>
    <w:rsid w:val="00E94B78"/>
    <w:rsid w:val="00E953EE"/>
    <w:rsid w:val="00EA0E59"/>
    <w:rsid w:val="00EA28D0"/>
    <w:rsid w:val="00EA602D"/>
    <w:rsid w:val="00EA6510"/>
    <w:rsid w:val="00EA6BD4"/>
    <w:rsid w:val="00EB31F0"/>
    <w:rsid w:val="00EB7EF3"/>
    <w:rsid w:val="00EC06F4"/>
    <w:rsid w:val="00EC0F56"/>
    <w:rsid w:val="00EC5DB5"/>
    <w:rsid w:val="00EC6357"/>
    <w:rsid w:val="00EC6ACF"/>
    <w:rsid w:val="00ED020E"/>
    <w:rsid w:val="00EE2731"/>
    <w:rsid w:val="00EE3921"/>
    <w:rsid w:val="00EE3DF8"/>
    <w:rsid w:val="00EE4AB0"/>
    <w:rsid w:val="00EE5596"/>
    <w:rsid w:val="00EE5C79"/>
    <w:rsid w:val="00EF1E6C"/>
    <w:rsid w:val="00EF38E3"/>
    <w:rsid w:val="00F014BE"/>
    <w:rsid w:val="00F02221"/>
    <w:rsid w:val="00F0237C"/>
    <w:rsid w:val="00F0567D"/>
    <w:rsid w:val="00F074A1"/>
    <w:rsid w:val="00F14FAA"/>
    <w:rsid w:val="00F23EC1"/>
    <w:rsid w:val="00F2409C"/>
    <w:rsid w:val="00F24F75"/>
    <w:rsid w:val="00F30BF4"/>
    <w:rsid w:val="00F33CF0"/>
    <w:rsid w:val="00F36919"/>
    <w:rsid w:val="00F425CD"/>
    <w:rsid w:val="00F453DD"/>
    <w:rsid w:val="00F4736C"/>
    <w:rsid w:val="00F5326D"/>
    <w:rsid w:val="00F53780"/>
    <w:rsid w:val="00F55095"/>
    <w:rsid w:val="00F56512"/>
    <w:rsid w:val="00F57BB5"/>
    <w:rsid w:val="00F618B0"/>
    <w:rsid w:val="00F62304"/>
    <w:rsid w:val="00F6729F"/>
    <w:rsid w:val="00F70919"/>
    <w:rsid w:val="00F76F29"/>
    <w:rsid w:val="00F80D86"/>
    <w:rsid w:val="00F814C1"/>
    <w:rsid w:val="00F82E06"/>
    <w:rsid w:val="00F907D6"/>
    <w:rsid w:val="00F91E62"/>
    <w:rsid w:val="00F96573"/>
    <w:rsid w:val="00FA1EB2"/>
    <w:rsid w:val="00FA21C9"/>
    <w:rsid w:val="00FA3174"/>
    <w:rsid w:val="00FB1113"/>
    <w:rsid w:val="00FB1E79"/>
    <w:rsid w:val="00FB1EC5"/>
    <w:rsid w:val="00FB2636"/>
    <w:rsid w:val="00FB48FF"/>
    <w:rsid w:val="00FB69EB"/>
    <w:rsid w:val="00FB7553"/>
    <w:rsid w:val="00FC2026"/>
    <w:rsid w:val="00FC2B3A"/>
    <w:rsid w:val="00FD14C1"/>
    <w:rsid w:val="00FD506B"/>
    <w:rsid w:val="00FD57F4"/>
    <w:rsid w:val="00FD5D5C"/>
    <w:rsid w:val="00FE4043"/>
    <w:rsid w:val="00FF10D7"/>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738E"/>
    <w:pPr>
      <w:suppressAutoHyphens/>
      <w:spacing w:line="360" w:lineRule="auto"/>
      <w:jc w:val="left"/>
    </w:pPr>
    <w:rPr>
      <w:rFonts w:ascii="Arial" w:eastAsia="Times New Roman" w:hAnsi="Arial" w:cs="Times New Roman"/>
      <w:kern w:val="24"/>
      <w:szCs w:val="24"/>
      <w:lang w:eastAsia="ar-SA"/>
    </w:rPr>
  </w:style>
  <w:style w:type="paragraph" w:styleId="berschrift1">
    <w:name w:val="heading 1"/>
    <w:basedOn w:val="Standard"/>
    <w:next w:val="Standard"/>
    <w:link w:val="berschrift1Zchn"/>
    <w:uiPriority w:val="9"/>
    <w:qFormat/>
    <w:rsid w:val="00C519AC"/>
    <w:pPr>
      <w:spacing w:line="276" w:lineRule="auto"/>
      <w:outlineLvl w:val="0"/>
    </w:pPr>
    <w:rPr>
      <w:rFonts w:cs="Arial"/>
      <w:b/>
      <w:sz w:val="44"/>
      <w:szCs w:val="44"/>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19AC"/>
    <w:rPr>
      <w:rFonts w:ascii="Arial" w:eastAsia="Times New Roman" w:hAnsi="Arial" w:cs="Arial"/>
      <w:b/>
      <w:kern w:val="24"/>
      <w:sz w:val="44"/>
      <w:szCs w:val="44"/>
      <w:lang w:eastAsia="ar-SA"/>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gitternetz">
    <w:name w:val="Table Grid"/>
    <w:basedOn w:val="NormaleTabelle"/>
    <w:uiPriority w:val="59"/>
    <w:rsid w:val="00881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071263">
      <w:bodyDiv w:val="1"/>
      <w:marLeft w:val="0"/>
      <w:marRight w:val="0"/>
      <w:marTop w:val="0"/>
      <w:marBottom w:val="0"/>
      <w:divBdr>
        <w:top w:val="none" w:sz="0" w:space="0" w:color="auto"/>
        <w:left w:val="none" w:sz="0" w:space="0" w:color="auto"/>
        <w:bottom w:val="none" w:sz="0" w:space="0" w:color="auto"/>
        <w:right w:val="none" w:sz="0" w:space="0" w:color="auto"/>
      </w:divBdr>
    </w:div>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62060341">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congatec.com" TargetMode="External"/><Relationship Id="rId18"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ngatec.com/de/congatec/pressemitteilungen/" TargetMode="External"/><Relationship Id="rId17"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2" Type="http://schemas.openxmlformats.org/officeDocument/2006/relationships/numbering" Target="numbering.xml"/><Relationship Id="rId16" Type="http://schemas.openxmlformats.org/officeDocument/2006/relationships/hyperlink" Target="http://www.sams-network.com" TargetMode="External"/><Relationship Id="rId20"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com-hp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sams-network.com"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https://www.congatec.com/de/produkte/zubehoer/conga-hpceval-client/" TargetMode="External"/><Relationship Id="rId19"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gatec.com" TargetMode="External"/><Relationship Id="rId22"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D3B8E-A12C-4D04-A287-4FEED016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7436</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cp:lastPrinted>2020-12-07T11:00:00Z</cp:lastPrinted>
  <dcterms:created xsi:type="dcterms:W3CDTF">2021-03-02T13:58:00Z</dcterms:created>
  <dcterms:modified xsi:type="dcterms:W3CDTF">2021-03-02T13:58:00Z</dcterms:modified>
</cp:coreProperties>
</file>