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117E97" w:rsidRDefault="00D108AC" w:rsidP="00D108AC">
      <w:pPr>
        <w:spacing w:after="120"/>
        <w:rPr>
          <w:rFonts w:ascii="Arial" w:eastAsia="Arial" w:hAnsi="Arial" w:cs="Arial"/>
          <w:b/>
          <w:sz w:val="20"/>
          <w:u w:val="single"/>
        </w:rPr>
      </w:pPr>
      <w:r w:rsidRPr="00117E97">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6"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40B37" w:rsidRPr="00117E97" w:rsidTr="00BD06A3">
        <w:trPr>
          <w:trHeight w:val="270"/>
        </w:trPr>
        <w:tc>
          <w:tcPr>
            <w:tcW w:w="2552" w:type="dxa"/>
            <w:shd w:val="clear" w:color="auto" w:fill="auto"/>
          </w:tcPr>
          <w:p w:rsidR="00E40B37" w:rsidRPr="00117E97" w:rsidRDefault="00D97692" w:rsidP="00F06CA0">
            <w:pPr>
              <w:pStyle w:val="Standard1"/>
              <w:snapToGrid w:val="0"/>
              <w:ind w:right="-1058"/>
              <w:rPr>
                <w:rFonts w:ascii="Arial" w:hAnsi="Arial" w:cs="Arial"/>
                <w:b/>
                <w:sz w:val="20"/>
                <w:u w:val="single"/>
              </w:rPr>
            </w:pPr>
            <w:r w:rsidRPr="00117E97">
              <w:rPr>
                <w:rFonts w:ascii="Arial" w:hAnsi="Arial" w:cs="Arial"/>
                <w:b/>
                <w:sz w:val="18"/>
                <w:u w:val="single"/>
              </w:rPr>
              <w:t>Domande</w:t>
            </w:r>
            <w:r w:rsidR="00931997" w:rsidRPr="00117E97">
              <w:rPr>
                <w:rFonts w:ascii="Arial" w:hAnsi="Arial" w:cs="Arial"/>
                <w:b/>
                <w:sz w:val="18"/>
                <w:u w:val="single"/>
              </w:rPr>
              <w:t xml:space="preserve"> </w:t>
            </w:r>
            <w:r w:rsidRPr="00117E97">
              <w:rPr>
                <w:rFonts w:ascii="Arial" w:hAnsi="Arial" w:cs="Arial"/>
                <w:b/>
                <w:sz w:val="18"/>
                <w:u w:val="single"/>
              </w:rPr>
              <w:t>dei</w:t>
            </w:r>
            <w:r w:rsidR="00931997" w:rsidRPr="00117E97">
              <w:rPr>
                <w:rFonts w:ascii="Arial" w:hAnsi="Arial" w:cs="Arial"/>
                <w:b/>
                <w:sz w:val="18"/>
                <w:u w:val="single"/>
              </w:rPr>
              <w:t xml:space="preserve"> </w:t>
            </w:r>
            <w:r w:rsidRPr="00117E97">
              <w:rPr>
                <w:rFonts w:ascii="Arial" w:hAnsi="Arial" w:cs="Arial"/>
                <w:b/>
                <w:sz w:val="18"/>
                <w:u w:val="single"/>
              </w:rPr>
              <w:t>lettori</w:t>
            </w:r>
            <w:r w:rsidRPr="00117E97">
              <w:rPr>
                <w:rFonts w:ascii="Arial" w:hAnsi="Arial" w:cs="Arial"/>
                <w:b/>
                <w:bCs/>
                <w:sz w:val="18"/>
                <w:szCs w:val="18"/>
                <w:u w:val="single"/>
                <w:lang w:val="en-US"/>
              </w:rPr>
              <w:t>:</w:t>
            </w:r>
          </w:p>
        </w:tc>
        <w:tc>
          <w:tcPr>
            <w:tcW w:w="2551" w:type="dxa"/>
            <w:shd w:val="clear" w:color="auto" w:fill="auto"/>
          </w:tcPr>
          <w:p w:rsidR="00E40B37" w:rsidRPr="00117E97" w:rsidRDefault="00F06CA0" w:rsidP="00BD06A3">
            <w:pPr>
              <w:pStyle w:val="Standard1"/>
              <w:snapToGrid w:val="0"/>
              <w:rPr>
                <w:rFonts w:ascii="Arial" w:hAnsi="Arial" w:cs="Arial"/>
                <w:b/>
                <w:sz w:val="20"/>
                <w:u w:val="single"/>
              </w:rPr>
            </w:pPr>
            <w:r w:rsidRPr="00117E97">
              <w:rPr>
                <w:rFonts w:ascii="Arial" w:hAnsi="Arial" w:cs="Arial"/>
                <w:b/>
                <w:sz w:val="18"/>
                <w:u w:val="single"/>
              </w:rPr>
              <w:t>Contatto</w:t>
            </w:r>
            <w:r w:rsidR="00931997" w:rsidRPr="00117E97">
              <w:rPr>
                <w:rFonts w:ascii="Arial" w:hAnsi="Arial" w:cs="Arial"/>
                <w:b/>
                <w:sz w:val="18"/>
                <w:u w:val="single"/>
              </w:rPr>
              <w:t xml:space="preserve"> </w:t>
            </w:r>
            <w:r w:rsidRPr="00117E97">
              <w:rPr>
                <w:rFonts w:ascii="Arial" w:hAnsi="Arial" w:cs="Arial"/>
                <w:b/>
                <w:sz w:val="18"/>
                <w:u w:val="single"/>
              </w:rPr>
              <w:t>Stampa</w:t>
            </w:r>
            <w:r w:rsidRPr="00117E97">
              <w:rPr>
                <w:rFonts w:ascii="Arial" w:hAnsi="Arial" w:cs="Arial"/>
                <w:b/>
                <w:sz w:val="18"/>
                <w:szCs w:val="18"/>
                <w:u w:val="single"/>
              </w:rPr>
              <w:t>:</w:t>
            </w:r>
          </w:p>
        </w:tc>
      </w:tr>
      <w:tr w:rsidR="00E40B37" w:rsidRPr="00117E97" w:rsidTr="00BD06A3">
        <w:tblPrEx>
          <w:tblCellMar>
            <w:left w:w="70" w:type="dxa"/>
            <w:right w:w="70" w:type="dxa"/>
          </w:tblCellMar>
        </w:tblPrEx>
        <w:trPr>
          <w:trHeight w:val="227"/>
        </w:trPr>
        <w:tc>
          <w:tcPr>
            <w:tcW w:w="2552" w:type="dxa"/>
            <w:shd w:val="clear" w:color="auto" w:fill="auto"/>
          </w:tcPr>
          <w:p w:rsidR="00E40B37" w:rsidRPr="00117E97" w:rsidRDefault="00E40B37" w:rsidP="00BD06A3">
            <w:pPr>
              <w:pStyle w:val="Standard1"/>
              <w:snapToGrid w:val="0"/>
              <w:spacing w:before="80"/>
              <w:ind w:right="-1058"/>
              <w:rPr>
                <w:rFonts w:ascii="Arial" w:hAnsi="Arial" w:cs="Arial"/>
                <w:b/>
                <w:sz w:val="18"/>
                <w:szCs w:val="18"/>
              </w:rPr>
            </w:pPr>
            <w:r w:rsidRPr="00117E97">
              <w:rPr>
                <w:rFonts w:ascii="Arial" w:hAnsi="Arial" w:cs="Arial"/>
                <w:b/>
                <w:sz w:val="18"/>
                <w:szCs w:val="18"/>
              </w:rPr>
              <w:t>congatec</w:t>
            </w:r>
            <w:r w:rsidR="00931997" w:rsidRPr="00117E97">
              <w:rPr>
                <w:rFonts w:ascii="Arial" w:hAnsi="Arial" w:cs="Arial"/>
                <w:b/>
                <w:sz w:val="18"/>
                <w:szCs w:val="18"/>
              </w:rPr>
              <w:t xml:space="preserve"> </w:t>
            </w:r>
            <w:r w:rsidRPr="00117E97">
              <w:rPr>
                <w:rFonts w:ascii="Arial" w:hAnsi="Arial" w:cs="Arial"/>
                <w:b/>
                <w:sz w:val="18"/>
                <w:szCs w:val="18"/>
              </w:rPr>
              <w:t>AG</w:t>
            </w:r>
          </w:p>
        </w:tc>
        <w:tc>
          <w:tcPr>
            <w:tcW w:w="2551" w:type="dxa"/>
            <w:shd w:val="clear" w:color="auto" w:fill="auto"/>
          </w:tcPr>
          <w:p w:rsidR="00E40B37" w:rsidRPr="00117E97" w:rsidRDefault="00E40B37" w:rsidP="00BD06A3">
            <w:pPr>
              <w:pStyle w:val="Standard1"/>
              <w:snapToGrid w:val="0"/>
              <w:spacing w:before="80"/>
              <w:rPr>
                <w:rFonts w:ascii="Arial" w:hAnsi="Arial" w:cs="Arial"/>
                <w:b/>
                <w:sz w:val="18"/>
                <w:szCs w:val="18"/>
              </w:rPr>
            </w:pPr>
            <w:r w:rsidRPr="00117E97">
              <w:rPr>
                <w:rFonts w:ascii="Arial" w:hAnsi="Arial" w:cs="Arial"/>
                <w:b/>
                <w:sz w:val="18"/>
                <w:szCs w:val="18"/>
              </w:rPr>
              <w:t>SAMS</w:t>
            </w:r>
            <w:r w:rsidR="00931997" w:rsidRPr="00117E97">
              <w:rPr>
                <w:rFonts w:ascii="Arial" w:hAnsi="Arial" w:cs="Arial"/>
                <w:b/>
                <w:sz w:val="18"/>
                <w:szCs w:val="18"/>
              </w:rPr>
              <w:t xml:space="preserve"> </w:t>
            </w:r>
            <w:r w:rsidRPr="00117E97">
              <w:rPr>
                <w:rFonts w:ascii="Arial" w:hAnsi="Arial" w:cs="Arial"/>
                <w:b/>
                <w:sz w:val="18"/>
                <w:szCs w:val="18"/>
              </w:rPr>
              <w:t>Network</w:t>
            </w:r>
            <w:r w:rsidR="00931997" w:rsidRPr="00117E97">
              <w:rPr>
                <w:rFonts w:ascii="Arial" w:hAnsi="Arial" w:cs="Arial"/>
                <w:b/>
                <w:sz w:val="18"/>
                <w:szCs w:val="18"/>
              </w:rPr>
              <w:t xml:space="preserve"> </w:t>
            </w:r>
          </w:p>
        </w:tc>
      </w:tr>
      <w:tr w:rsidR="00E40B37" w:rsidRPr="00117E97" w:rsidTr="00BD06A3">
        <w:tblPrEx>
          <w:tblCellMar>
            <w:left w:w="70" w:type="dxa"/>
            <w:right w:w="70" w:type="dxa"/>
          </w:tblCellMar>
        </w:tblPrEx>
        <w:trPr>
          <w:trHeight w:val="101"/>
        </w:trPr>
        <w:tc>
          <w:tcPr>
            <w:tcW w:w="2552" w:type="dxa"/>
            <w:shd w:val="clear" w:color="auto" w:fill="auto"/>
          </w:tcPr>
          <w:p w:rsidR="00E40B37" w:rsidRPr="00117E97" w:rsidRDefault="00655B81" w:rsidP="00BD06A3">
            <w:pPr>
              <w:pStyle w:val="Standard1"/>
              <w:snapToGrid w:val="0"/>
              <w:spacing w:before="20"/>
              <w:rPr>
                <w:rFonts w:ascii="Arial" w:hAnsi="Arial" w:cs="Arial"/>
                <w:sz w:val="18"/>
                <w:szCs w:val="18"/>
              </w:rPr>
            </w:pPr>
            <w:r w:rsidRPr="00117E97">
              <w:rPr>
                <w:rFonts w:ascii="Arial" w:hAnsi="Arial" w:cs="Arial"/>
                <w:sz w:val="18"/>
                <w:szCs w:val="18"/>
              </w:rPr>
              <w:t>Christian</w:t>
            </w:r>
            <w:r w:rsidR="00931997" w:rsidRPr="00117E97">
              <w:rPr>
                <w:rFonts w:ascii="Arial" w:hAnsi="Arial" w:cs="Arial"/>
                <w:sz w:val="18"/>
                <w:szCs w:val="18"/>
              </w:rPr>
              <w:t xml:space="preserve"> </w:t>
            </w:r>
            <w:r w:rsidRPr="00117E97">
              <w:rPr>
                <w:rFonts w:ascii="Arial" w:hAnsi="Arial" w:cs="Arial"/>
                <w:sz w:val="18"/>
                <w:szCs w:val="18"/>
              </w:rPr>
              <w:t>Eder</w:t>
            </w:r>
          </w:p>
        </w:tc>
        <w:tc>
          <w:tcPr>
            <w:tcW w:w="2551" w:type="dxa"/>
            <w:shd w:val="clear" w:color="auto" w:fill="auto"/>
          </w:tcPr>
          <w:p w:rsidR="00E40B37" w:rsidRPr="00117E97" w:rsidRDefault="00E40B37" w:rsidP="00BD06A3">
            <w:pPr>
              <w:pStyle w:val="Standard1"/>
              <w:snapToGrid w:val="0"/>
              <w:spacing w:before="20"/>
              <w:rPr>
                <w:rFonts w:ascii="Arial" w:hAnsi="Arial" w:cs="Arial"/>
                <w:sz w:val="18"/>
                <w:szCs w:val="18"/>
              </w:rPr>
            </w:pPr>
            <w:r w:rsidRPr="00117E97">
              <w:rPr>
                <w:rFonts w:ascii="Arial" w:hAnsi="Arial" w:cs="Arial"/>
                <w:sz w:val="18"/>
                <w:szCs w:val="18"/>
              </w:rPr>
              <w:t>Michael</w:t>
            </w:r>
            <w:r w:rsidR="00931997" w:rsidRPr="00117E97">
              <w:rPr>
                <w:rFonts w:ascii="Arial" w:hAnsi="Arial" w:cs="Arial"/>
                <w:sz w:val="18"/>
                <w:szCs w:val="18"/>
              </w:rPr>
              <w:t xml:space="preserve"> </w:t>
            </w:r>
            <w:r w:rsidRPr="00117E97">
              <w:rPr>
                <w:rFonts w:ascii="Arial" w:hAnsi="Arial" w:cs="Arial"/>
                <w:sz w:val="18"/>
                <w:szCs w:val="18"/>
              </w:rPr>
              <w:t>Hennen</w:t>
            </w:r>
          </w:p>
        </w:tc>
      </w:tr>
      <w:tr w:rsidR="00E40B37" w:rsidRPr="00117E97" w:rsidTr="00BD06A3">
        <w:tblPrEx>
          <w:tblCellMar>
            <w:left w:w="70" w:type="dxa"/>
            <w:right w:w="70" w:type="dxa"/>
          </w:tblCellMar>
        </w:tblPrEx>
        <w:trPr>
          <w:trHeight w:val="227"/>
        </w:trPr>
        <w:tc>
          <w:tcPr>
            <w:tcW w:w="2552" w:type="dxa"/>
            <w:shd w:val="clear" w:color="auto" w:fill="auto"/>
          </w:tcPr>
          <w:p w:rsidR="0039428B" w:rsidRPr="00117E97" w:rsidRDefault="006F40DB" w:rsidP="0039428B">
            <w:pPr>
              <w:pStyle w:val="Standard1"/>
              <w:snapToGrid w:val="0"/>
              <w:spacing w:before="20"/>
              <w:rPr>
                <w:rFonts w:ascii="Arial" w:hAnsi="Arial" w:cs="Arial"/>
                <w:sz w:val="18"/>
                <w:szCs w:val="18"/>
              </w:rPr>
            </w:pPr>
            <w:r w:rsidRPr="00117E97">
              <w:rPr>
                <w:rFonts w:ascii="Arial" w:hAnsi="Arial" w:cs="Arial"/>
                <w:sz w:val="18"/>
                <w:szCs w:val="18"/>
              </w:rPr>
              <w:t>Phone:</w:t>
            </w:r>
            <w:r w:rsidR="00931997" w:rsidRPr="00117E97">
              <w:rPr>
                <w:rFonts w:ascii="Arial" w:hAnsi="Arial" w:cs="Arial"/>
                <w:sz w:val="18"/>
                <w:szCs w:val="18"/>
              </w:rPr>
              <w:t xml:space="preserve"> </w:t>
            </w:r>
            <w:r w:rsidRPr="00117E97">
              <w:rPr>
                <w:rFonts w:ascii="Arial" w:hAnsi="Arial" w:cs="Arial"/>
                <w:sz w:val="18"/>
                <w:szCs w:val="18"/>
              </w:rPr>
              <w:t>+49-991-2700-0</w:t>
            </w:r>
          </w:p>
        </w:tc>
        <w:tc>
          <w:tcPr>
            <w:tcW w:w="2551" w:type="dxa"/>
            <w:shd w:val="clear" w:color="auto" w:fill="auto"/>
          </w:tcPr>
          <w:p w:rsidR="00E40B37" w:rsidRPr="00117E97" w:rsidRDefault="00E40B37" w:rsidP="00BD06A3">
            <w:pPr>
              <w:pStyle w:val="Standard1"/>
              <w:snapToGrid w:val="0"/>
              <w:spacing w:before="20"/>
              <w:rPr>
                <w:rFonts w:ascii="Arial" w:hAnsi="Arial" w:cs="Arial"/>
                <w:sz w:val="18"/>
                <w:szCs w:val="18"/>
              </w:rPr>
            </w:pPr>
            <w:r w:rsidRPr="00117E97">
              <w:rPr>
                <w:rFonts w:ascii="Arial" w:hAnsi="Arial" w:cs="Arial"/>
                <w:sz w:val="18"/>
                <w:szCs w:val="18"/>
              </w:rPr>
              <w:t>Phone:</w:t>
            </w:r>
            <w:r w:rsidR="00931997" w:rsidRPr="00117E97">
              <w:rPr>
                <w:rFonts w:ascii="Arial" w:hAnsi="Arial" w:cs="Arial"/>
                <w:sz w:val="18"/>
                <w:szCs w:val="18"/>
              </w:rPr>
              <w:t xml:space="preserve"> </w:t>
            </w:r>
            <w:r w:rsidRPr="00117E97">
              <w:rPr>
                <w:rFonts w:ascii="Arial" w:hAnsi="Arial" w:cs="Arial"/>
                <w:sz w:val="18"/>
                <w:szCs w:val="18"/>
              </w:rPr>
              <w:t>+49-2405-4526720</w:t>
            </w:r>
          </w:p>
        </w:tc>
      </w:tr>
      <w:tr w:rsidR="00E40B37" w:rsidRPr="00117E97" w:rsidTr="00BD06A3">
        <w:tblPrEx>
          <w:tblCellMar>
            <w:left w:w="70" w:type="dxa"/>
            <w:right w:w="70" w:type="dxa"/>
          </w:tblCellMar>
        </w:tblPrEx>
        <w:trPr>
          <w:trHeight w:val="273"/>
        </w:trPr>
        <w:tc>
          <w:tcPr>
            <w:tcW w:w="2552" w:type="dxa"/>
            <w:shd w:val="clear" w:color="auto" w:fill="auto"/>
          </w:tcPr>
          <w:p w:rsidR="000436FF" w:rsidRPr="00117E97" w:rsidRDefault="00B06107" w:rsidP="000436FF">
            <w:pPr>
              <w:pStyle w:val="Standard1"/>
              <w:snapToGrid w:val="0"/>
              <w:spacing w:before="20"/>
              <w:rPr>
                <w:rFonts w:ascii="Arial" w:hAnsi="Arial" w:cs="Arial"/>
                <w:sz w:val="18"/>
                <w:szCs w:val="18"/>
              </w:rPr>
            </w:pPr>
            <w:hyperlink r:id="rId7" w:history="1">
              <w:r w:rsidR="000436FF" w:rsidRPr="00117E97">
                <w:rPr>
                  <w:rStyle w:val="Hyperlink"/>
                  <w:rFonts w:ascii="Arial" w:hAnsi="Arial" w:cs="Arial"/>
                  <w:sz w:val="18"/>
                  <w:szCs w:val="18"/>
                </w:rPr>
                <w:t>info@congatec.com</w:t>
              </w:r>
            </w:hyperlink>
          </w:p>
          <w:p w:rsidR="00E40B37" w:rsidRPr="00117E97" w:rsidRDefault="00B06107" w:rsidP="00143DF4">
            <w:pPr>
              <w:pStyle w:val="Standard1"/>
              <w:snapToGrid w:val="0"/>
              <w:spacing w:before="20"/>
              <w:rPr>
                <w:rFonts w:ascii="Arial" w:hAnsi="Arial" w:cs="Arial"/>
                <w:sz w:val="18"/>
                <w:szCs w:val="18"/>
              </w:rPr>
            </w:pPr>
            <w:hyperlink r:id="rId8" w:history="1">
              <w:r w:rsidR="00BD06A3" w:rsidRPr="00117E97">
                <w:rPr>
                  <w:rStyle w:val="Hyperlink"/>
                  <w:rFonts w:ascii="Arial" w:hAnsi="Arial" w:cs="Arial"/>
                  <w:sz w:val="18"/>
                  <w:szCs w:val="18"/>
                </w:rPr>
                <w:t>www.congatec.it</w:t>
              </w:r>
            </w:hyperlink>
            <w:r w:rsidR="00931997" w:rsidRPr="00117E97">
              <w:rPr>
                <w:rFonts w:ascii="Arial" w:hAnsi="Arial" w:cs="Arial"/>
                <w:sz w:val="18"/>
                <w:szCs w:val="18"/>
              </w:rPr>
              <w:t xml:space="preserve"> </w:t>
            </w:r>
          </w:p>
        </w:tc>
        <w:tc>
          <w:tcPr>
            <w:tcW w:w="2551" w:type="dxa"/>
            <w:shd w:val="clear" w:color="auto" w:fill="auto"/>
          </w:tcPr>
          <w:p w:rsidR="00E40B37" w:rsidRPr="00117E97" w:rsidRDefault="00B06107" w:rsidP="00BD06A3">
            <w:pPr>
              <w:pStyle w:val="Standard1"/>
              <w:snapToGrid w:val="0"/>
              <w:spacing w:before="20"/>
              <w:rPr>
                <w:rFonts w:ascii="Arial" w:hAnsi="Arial" w:cs="Arial"/>
                <w:sz w:val="18"/>
                <w:szCs w:val="18"/>
              </w:rPr>
            </w:pPr>
            <w:hyperlink r:id="rId9" w:history="1">
              <w:r w:rsidR="00E40B37" w:rsidRPr="00117E97">
                <w:rPr>
                  <w:rStyle w:val="Hyperlink"/>
                  <w:rFonts w:ascii="Arial" w:hAnsi="Arial" w:cs="Arial"/>
                  <w:sz w:val="18"/>
                  <w:szCs w:val="18"/>
                </w:rPr>
                <w:t>info@sams-network.com</w:t>
              </w:r>
            </w:hyperlink>
          </w:p>
          <w:p w:rsidR="00E40B37" w:rsidRPr="00117E97" w:rsidRDefault="00B06107" w:rsidP="00BD06A3">
            <w:pPr>
              <w:pStyle w:val="Standard1"/>
              <w:snapToGrid w:val="0"/>
              <w:spacing w:before="20"/>
              <w:rPr>
                <w:rFonts w:ascii="Arial" w:hAnsi="Arial" w:cs="Arial"/>
                <w:sz w:val="18"/>
                <w:szCs w:val="18"/>
              </w:rPr>
            </w:pPr>
            <w:hyperlink r:id="rId10" w:history="1">
              <w:r w:rsidR="00E40B37" w:rsidRPr="00117E97">
                <w:rPr>
                  <w:rStyle w:val="Hyperlink"/>
                  <w:rFonts w:ascii="Arial" w:hAnsi="Arial" w:cs="Arial"/>
                  <w:sz w:val="18"/>
                  <w:szCs w:val="18"/>
                </w:rPr>
                <w:t>www.sams-network.com</w:t>
              </w:r>
            </w:hyperlink>
          </w:p>
        </w:tc>
      </w:tr>
    </w:tbl>
    <w:p w:rsidR="00D108AC" w:rsidRPr="00117E97" w:rsidRDefault="00D108AC" w:rsidP="00D108AC">
      <w:pPr>
        <w:rPr>
          <w:rFonts w:ascii="Arial" w:hAnsi="Arial" w:cs="Arial"/>
          <w:i/>
          <w:iCs/>
          <w:color w:val="000000"/>
          <w:sz w:val="16"/>
          <w:szCs w:val="16"/>
        </w:rPr>
      </w:pPr>
    </w:p>
    <w:p w:rsidR="00D108AC" w:rsidRPr="00117E97" w:rsidRDefault="00D108AC" w:rsidP="00D108AC">
      <w:pPr>
        <w:rPr>
          <w:rFonts w:ascii="Arial" w:hAnsi="Arial" w:cs="Arial"/>
          <w:i/>
          <w:iCs/>
          <w:color w:val="000000"/>
          <w:sz w:val="16"/>
          <w:szCs w:val="16"/>
        </w:rPr>
      </w:pPr>
    </w:p>
    <w:p w:rsidR="00EC47A8" w:rsidRPr="00117E97" w:rsidRDefault="00EC47A8" w:rsidP="00EC47A8">
      <w:pPr>
        <w:spacing w:after="120"/>
        <w:rPr>
          <w:rFonts w:ascii="Arial" w:hAnsi="Arial" w:cs="Arial"/>
          <w:noProof/>
          <w:lang w:eastAsia="de-DE"/>
        </w:rPr>
      </w:pPr>
    </w:p>
    <w:p w:rsidR="0008768B" w:rsidRPr="00117E97" w:rsidRDefault="0069126A" w:rsidP="00EC47A8">
      <w:pPr>
        <w:spacing w:after="120"/>
        <w:rPr>
          <w:rFonts w:ascii="Arial" w:hAnsi="Arial" w:cs="Arial"/>
          <w:i/>
          <w:noProof/>
          <w:sz w:val="16"/>
          <w:szCs w:val="16"/>
          <w:lang w:val="it-IT" w:eastAsia="de-DE"/>
        </w:rPr>
      </w:pPr>
      <w:r w:rsidRPr="00117E97">
        <w:rPr>
          <w:rFonts w:ascii="Arial" w:hAnsi="Arial" w:cs="Arial"/>
          <w:i/>
          <w:noProof/>
          <w:sz w:val="16"/>
          <w:szCs w:val="16"/>
          <w:lang w:eastAsia="de-DE"/>
        </w:rPr>
        <w:drawing>
          <wp:inline distT="0" distB="0" distL="0" distR="0">
            <wp:extent cx="1085215" cy="743585"/>
            <wp:effectExtent l="19050" t="0" r="635" b="0"/>
            <wp:docPr id="1" name="Bild 1" descr="congatec-COM-Express-V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atec-COM-Express-V2000"/>
                    <pic:cNvPicPr>
                      <a:picLocks noChangeAspect="1" noChangeArrowheads="1"/>
                    </pic:cNvPicPr>
                  </pic:nvPicPr>
                  <pic:blipFill>
                    <a:blip r:embed="rId11" cstate="print"/>
                    <a:srcRect/>
                    <a:stretch>
                      <a:fillRect/>
                    </a:stretch>
                  </pic:blipFill>
                  <pic:spPr bwMode="auto">
                    <a:xfrm>
                      <a:off x="0" y="0"/>
                      <a:ext cx="1085215" cy="743585"/>
                    </a:xfrm>
                    <a:prstGeom prst="rect">
                      <a:avLst/>
                    </a:prstGeom>
                    <a:noFill/>
                    <a:ln w="9525">
                      <a:noFill/>
                      <a:miter lim="800000"/>
                      <a:headEnd/>
                      <a:tailEnd/>
                    </a:ln>
                  </pic:spPr>
                </pic:pic>
              </a:graphicData>
            </a:graphic>
          </wp:inline>
        </w:drawing>
      </w:r>
    </w:p>
    <w:p w:rsidR="00EC47A8" w:rsidRPr="00117E97" w:rsidRDefault="002719EA" w:rsidP="00EC47A8">
      <w:pPr>
        <w:spacing w:after="120"/>
        <w:rPr>
          <w:rFonts w:ascii="Arial" w:hAnsi="Arial" w:cs="Arial"/>
          <w:i/>
          <w:noProof/>
          <w:sz w:val="16"/>
          <w:szCs w:val="16"/>
          <w:lang w:val="it-IT" w:eastAsia="de-DE"/>
        </w:rPr>
      </w:pPr>
      <w:r w:rsidRPr="00117E97">
        <w:rPr>
          <w:rFonts w:ascii="Arial" w:hAnsi="Arial" w:cs="Arial"/>
          <w:i/>
          <w:noProof/>
          <w:sz w:val="16"/>
          <w:szCs w:val="16"/>
          <w:lang w:val="it-IT" w:eastAsia="de-DE"/>
        </w:rPr>
        <w:t>Testo</w:t>
      </w:r>
      <w:r w:rsidR="00931997" w:rsidRPr="00117E97">
        <w:rPr>
          <w:rFonts w:ascii="Arial" w:hAnsi="Arial" w:cs="Arial"/>
          <w:i/>
          <w:noProof/>
          <w:sz w:val="16"/>
          <w:szCs w:val="16"/>
          <w:lang w:val="it-IT" w:eastAsia="de-DE"/>
        </w:rPr>
        <w:t xml:space="preserve"> </w:t>
      </w:r>
      <w:r w:rsidRPr="00117E97">
        <w:rPr>
          <w:rFonts w:ascii="Arial" w:hAnsi="Arial" w:cs="Arial"/>
          <w:i/>
          <w:noProof/>
          <w:sz w:val="16"/>
          <w:szCs w:val="16"/>
          <w:lang w:val="it-IT" w:eastAsia="de-DE"/>
        </w:rPr>
        <w:t>e</w:t>
      </w:r>
      <w:r w:rsidR="00931997" w:rsidRPr="00117E97">
        <w:rPr>
          <w:rFonts w:ascii="Arial" w:hAnsi="Arial" w:cs="Arial"/>
          <w:i/>
          <w:noProof/>
          <w:sz w:val="16"/>
          <w:szCs w:val="16"/>
          <w:lang w:val="it-IT" w:eastAsia="de-DE"/>
        </w:rPr>
        <w:t xml:space="preserve"> </w:t>
      </w:r>
      <w:r w:rsidRPr="00117E97">
        <w:rPr>
          <w:rFonts w:ascii="Arial" w:hAnsi="Arial" w:cs="Arial"/>
          <w:i/>
          <w:noProof/>
          <w:sz w:val="16"/>
          <w:szCs w:val="16"/>
          <w:lang w:val="it-IT" w:eastAsia="de-DE"/>
        </w:rPr>
        <w:t>foto</w:t>
      </w:r>
      <w:r w:rsidR="00931997" w:rsidRPr="00117E97">
        <w:rPr>
          <w:rFonts w:ascii="Arial" w:hAnsi="Arial" w:cs="Arial"/>
          <w:i/>
          <w:noProof/>
          <w:sz w:val="16"/>
          <w:szCs w:val="16"/>
          <w:lang w:val="it-IT" w:eastAsia="de-DE"/>
        </w:rPr>
        <w:t xml:space="preserve"> </w:t>
      </w:r>
      <w:r w:rsidRPr="00117E97">
        <w:rPr>
          <w:rFonts w:ascii="Arial" w:hAnsi="Arial" w:cs="Arial"/>
          <w:i/>
          <w:noProof/>
          <w:sz w:val="16"/>
          <w:szCs w:val="16"/>
          <w:lang w:val="it-IT" w:eastAsia="de-DE"/>
        </w:rPr>
        <w:t>disponibili</w:t>
      </w:r>
      <w:r w:rsidR="00931997" w:rsidRPr="00117E97">
        <w:rPr>
          <w:rFonts w:ascii="Arial" w:hAnsi="Arial" w:cs="Arial"/>
          <w:i/>
          <w:noProof/>
          <w:sz w:val="16"/>
          <w:szCs w:val="16"/>
          <w:lang w:val="it-IT" w:eastAsia="de-DE"/>
        </w:rPr>
        <w:t xml:space="preserve"> </w:t>
      </w:r>
      <w:r w:rsidRPr="00117E97">
        <w:rPr>
          <w:rFonts w:ascii="Arial" w:hAnsi="Arial" w:cs="Arial"/>
          <w:i/>
          <w:noProof/>
          <w:sz w:val="16"/>
          <w:szCs w:val="16"/>
          <w:lang w:val="it-IT" w:eastAsia="de-DE"/>
        </w:rPr>
        <w:t>presso:</w:t>
      </w:r>
      <w:r w:rsidR="00931997" w:rsidRPr="00117E97">
        <w:rPr>
          <w:rFonts w:ascii="Arial" w:hAnsi="Arial" w:cs="Arial"/>
          <w:i/>
          <w:noProof/>
          <w:sz w:val="16"/>
          <w:szCs w:val="16"/>
          <w:lang w:val="it-IT" w:eastAsia="de-DE"/>
        </w:rPr>
        <w:t xml:space="preserve"> </w:t>
      </w:r>
      <w:hyperlink r:id="rId12" w:history="1">
        <w:r w:rsidR="001B21DE" w:rsidRPr="00117E97">
          <w:rPr>
            <w:rStyle w:val="Hyperlink"/>
            <w:rFonts w:ascii="Arial" w:hAnsi="Arial" w:cs="Arial"/>
            <w:i/>
            <w:noProof/>
            <w:sz w:val="16"/>
            <w:szCs w:val="16"/>
            <w:lang w:val="it-IT" w:eastAsia="de-DE"/>
          </w:rPr>
          <w:t>https://www.congatec.com/it/congatec/comunicato-stampa.html</w:t>
        </w:r>
      </w:hyperlink>
      <w:r w:rsidR="00931997" w:rsidRPr="00117E97">
        <w:rPr>
          <w:rFonts w:ascii="Arial" w:hAnsi="Arial" w:cs="Arial"/>
          <w:i/>
          <w:noProof/>
          <w:sz w:val="16"/>
          <w:szCs w:val="16"/>
          <w:lang w:val="it-IT" w:eastAsia="de-DE"/>
        </w:rPr>
        <w:t xml:space="preserve"> </w:t>
      </w:r>
      <w:r w:rsidRPr="00117E97">
        <w:rPr>
          <w:rFonts w:ascii="Arial" w:hAnsi="Arial" w:cs="Arial"/>
          <w:i/>
          <w:noProof/>
          <w:sz w:val="16"/>
          <w:szCs w:val="16"/>
          <w:lang w:val="it-IT" w:eastAsia="de-DE"/>
        </w:rPr>
        <w:br/>
      </w:r>
    </w:p>
    <w:p w:rsidR="00105D9C" w:rsidRPr="00117E97" w:rsidRDefault="00105D9C" w:rsidP="00105D9C">
      <w:pPr>
        <w:spacing w:after="120"/>
        <w:rPr>
          <w:rFonts w:ascii="Arial" w:hAnsi="Arial" w:cs="Arial"/>
          <w:b/>
          <w:u w:val="single"/>
          <w:lang w:val="it-IT"/>
        </w:rPr>
      </w:pPr>
      <w:r w:rsidRPr="00117E97">
        <w:rPr>
          <w:rFonts w:ascii="Arial" w:hAnsi="Arial" w:cs="Arial"/>
          <w:b/>
          <w:u w:val="single"/>
          <w:lang w:val="it-IT"/>
        </w:rPr>
        <w:t xml:space="preserve">Comunicato stampa </w:t>
      </w:r>
    </w:p>
    <w:p w:rsidR="00D108AC" w:rsidRPr="00117E97" w:rsidRDefault="00D108AC" w:rsidP="00D108AC">
      <w:pPr>
        <w:jc w:val="right"/>
        <w:rPr>
          <w:rFonts w:ascii="Arial" w:hAnsi="Arial" w:cs="Arial"/>
          <w:kern w:val="2"/>
          <w:sz w:val="22"/>
          <w:szCs w:val="22"/>
          <w:lang w:val="it-IT"/>
        </w:rPr>
      </w:pPr>
    </w:p>
    <w:p w:rsidR="00D30797" w:rsidRPr="00117E97" w:rsidRDefault="00D30797" w:rsidP="0096007A">
      <w:pPr>
        <w:jc w:val="right"/>
        <w:rPr>
          <w:rFonts w:ascii="Arial" w:hAnsi="Arial" w:cs="Arial"/>
          <w:kern w:val="2"/>
          <w:sz w:val="22"/>
          <w:szCs w:val="22"/>
          <w:lang w:val="it-IT"/>
        </w:rPr>
      </w:pPr>
    </w:p>
    <w:p w:rsidR="00086BA5" w:rsidRPr="00117E97" w:rsidRDefault="00086BA5" w:rsidP="00086BA5">
      <w:pPr>
        <w:jc w:val="center"/>
        <w:rPr>
          <w:rFonts w:ascii="Arial" w:hAnsi="Arial" w:cs="Arial"/>
          <w:lang w:val="it-IT"/>
        </w:rPr>
      </w:pPr>
      <w:r w:rsidRPr="00117E97">
        <w:rPr>
          <w:rFonts w:ascii="Arial" w:hAnsi="Arial" w:cs="Arial"/>
          <w:lang w:val="it-IT"/>
        </w:rPr>
        <w:t xml:space="preserve">congatec propone i nuovi processori </w:t>
      </w:r>
      <w:r w:rsidRPr="00117E97">
        <w:rPr>
          <w:rFonts w:ascii="Arial" w:hAnsi="Arial" w:cs="Arial"/>
          <w:bCs/>
          <w:lang w:val="it-IT"/>
        </w:rPr>
        <w:t xml:space="preserve">Ryzen™ </w:t>
      </w:r>
      <w:r w:rsidRPr="00117E97">
        <w:rPr>
          <w:rFonts w:ascii="Arial" w:hAnsi="Arial" w:cs="Arial"/>
          <w:lang w:val="it-IT"/>
        </w:rPr>
        <w:t>Embedded V2000 di AMD su moduli in formato COM Express Compact</w:t>
      </w:r>
    </w:p>
    <w:p w:rsidR="00086BA5" w:rsidRPr="00117E97" w:rsidRDefault="00086BA5" w:rsidP="00086BA5">
      <w:pPr>
        <w:jc w:val="center"/>
        <w:rPr>
          <w:rFonts w:ascii="Arial" w:hAnsi="Arial" w:cs="Arial"/>
          <w:lang w:val="it-IT"/>
        </w:rPr>
      </w:pPr>
    </w:p>
    <w:p w:rsidR="00086BA5" w:rsidRPr="00117E97" w:rsidRDefault="00086BA5" w:rsidP="00086BA5">
      <w:pPr>
        <w:jc w:val="center"/>
        <w:rPr>
          <w:rFonts w:ascii="Arial" w:hAnsi="Arial" w:cs="Arial"/>
          <w:b/>
          <w:bCs/>
          <w:sz w:val="36"/>
          <w:szCs w:val="36"/>
          <w:lang w:val="it-IT"/>
        </w:rPr>
      </w:pPr>
      <w:r w:rsidRPr="00117E97">
        <w:rPr>
          <w:rFonts w:ascii="Arial" w:hAnsi="Arial" w:cs="Arial"/>
          <w:b/>
          <w:bCs/>
          <w:sz w:val="36"/>
          <w:szCs w:val="36"/>
          <w:lang w:val="it-IT"/>
        </w:rPr>
        <w:t>Prestazioni più spinte in un fattore di forma ridotto</w:t>
      </w:r>
    </w:p>
    <w:p w:rsidR="003C5916" w:rsidRPr="00117E97" w:rsidRDefault="003C5916" w:rsidP="003C5916">
      <w:pPr>
        <w:jc w:val="center"/>
        <w:rPr>
          <w:rFonts w:ascii="Arial" w:hAnsi="Arial" w:cs="Arial"/>
          <w:b/>
          <w:sz w:val="22"/>
          <w:szCs w:val="22"/>
          <w:lang w:val="it-IT"/>
        </w:rPr>
      </w:pPr>
    </w:p>
    <w:p w:rsidR="005C70A8" w:rsidRPr="00117E97" w:rsidRDefault="005C70A8" w:rsidP="005C70A8">
      <w:pPr>
        <w:tabs>
          <w:tab w:val="left" w:pos="5670"/>
        </w:tabs>
        <w:spacing w:line="360" w:lineRule="auto"/>
        <w:rPr>
          <w:rFonts w:ascii="Arial" w:hAnsi="Arial" w:cs="Arial"/>
          <w:sz w:val="22"/>
          <w:szCs w:val="22"/>
          <w:lang w:val="it-IT"/>
        </w:rPr>
      </w:pPr>
      <w:r w:rsidRPr="00117E97">
        <w:rPr>
          <w:rFonts w:ascii="Arial" w:hAnsi="Arial" w:cs="Arial"/>
          <w:b/>
          <w:sz w:val="22"/>
          <w:szCs w:val="22"/>
          <w:lang w:val="it-IT"/>
        </w:rPr>
        <w:t>Deggendorf, Germania, 10 Novembre 2020</w:t>
      </w:r>
      <w:r w:rsidRPr="00117E97">
        <w:rPr>
          <w:rFonts w:ascii="Arial" w:hAnsi="Arial" w:cs="Arial"/>
          <w:sz w:val="22"/>
          <w:szCs w:val="22"/>
          <w:lang w:val="it-IT"/>
        </w:rPr>
        <w:t xml:space="preserve"> * * *congatec – azienda leader nei settori della tecnologia di elaborazione per applicazioni embedded ed edge  – ha reso noto l'introduzione di nuovi moduli in formato COM Express Compact che utilizzano il nuovissimo processore Ryzen™ Embedded V2000 di AMD: grazie a</w:t>
      </w:r>
      <w:r w:rsidR="002E0CD2">
        <w:rPr>
          <w:rFonts w:ascii="Arial" w:hAnsi="Arial" w:cs="Arial"/>
          <w:sz w:val="22"/>
          <w:szCs w:val="22"/>
          <w:lang w:val="it-IT"/>
        </w:rPr>
        <w:t>d</w:t>
      </w:r>
      <w:r w:rsidRPr="00117E97">
        <w:rPr>
          <w:rFonts w:ascii="Arial" w:hAnsi="Arial" w:cs="Arial"/>
          <w:sz w:val="22"/>
          <w:szCs w:val="22"/>
          <w:lang w:val="it-IT"/>
        </w:rPr>
        <w:t xml:space="preserve"> essi sarà possibile realizzare sistemi compatti e ad altre prestazioni che contribuiranno ad ampliare in maniera significativa le aree applicative delle piattaforme COM Express con pinout Type 6 della società basate sulla linea di processori AMD Ryzen™ Embedded. Il modulo conga-TCV2 equipaggiato con processori Ryzen Embedded V2000 è caratterizzato da un sensibile incremento (fino a due volte) del rapporto tra prestazioni e consumi</w:t>
      </w:r>
      <w:bookmarkStart w:id="0" w:name="_Ref55807157"/>
      <w:bookmarkStart w:id="1" w:name="_Hlk55482181"/>
      <w:r w:rsidRPr="00117E97">
        <w:rPr>
          <w:rStyle w:val="Endnotenzeichen"/>
          <w:rFonts w:ascii="Arial" w:hAnsi="Arial" w:cs="Arial"/>
          <w:lang w:val="it-IT"/>
        </w:rPr>
        <w:endnoteReference w:id="1"/>
      </w:r>
      <w:bookmarkEnd w:id="0"/>
      <w:r w:rsidRPr="00117E97">
        <w:rPr>
          <w:rFonts w:ascii="Arial" w:hAnsi="Arial" w:cs="Arial"/>
          <w:sz w:val="22"/>
          <w:szCs w:val="22"/>
          <w:lang w:val="it-IT"/>
        </w:rPr>
        <w:t>, mette a disposizione un numero di core doppio</w:t>
      </w:r>
      <w:bookmarkStart w:id="2" w:name="_Ref55807229"/>
      <w:r w:rsidRPr="00117E97">
        <w:rPr>
          <w:rStyle w:val="Endnotenzeichen"/>
          <w:rFonts w:ascii="Arial" w:hAnsi="Arial" w:cs="Arial"/>
          <w:lang w:val="it-IT"/>
        </w:rPr>
        <w:endnoteReference w:id="2"/>
      </w:r>
      <w:bookmarkEnd w:id="2"/>
      <w:r w:rsidRPr="00117E97">
        <w:rPr>
          <w:rFonts w:ascii="Arial" w:hAnsi="Arial" w:cs="Arial"/>
          <w:sz w:val="22"/>
          <w:szCs w:val="22"/>
          <w:lang w:val="it-IT"/>
        </w:rPr>
        <w:t xml:space="preserve"> e ha dimensioni pari al 76% rispetto a quelle dei prodotti della generazione precedente</w:t>
      </w:r>
      <w:r w:rsidRPr="00117E97">
        <w:rPr>
          <w:rStyle w:val="Endnotenzeichen"/>
          <w:rFonts w:ascii="Arial" w:hAnsi="Arial" w:cs="Arial"/>
          <w:lang w:val="it-IT"/>
        </w:rPr>
        <w:endnoteReference w:id="3"/>
      </w:r>
      <w:r w:rsidRPr="00117E97">
        <w:rPr>
          <w:rFonts w:ascii="Arial" w:hAnsi="Arial" w:cs="Arial"/>
          <w:sz w:val="22"/>
          <w:szCs w:val="22"/>
          <w:lang w:val="it-IT"/>
        </w:rPr>
        <w:t>, pur garantendo la totale compatibilità a livello di piedinatura.</w:t>
      </w:r>
    </w:p>
    <w:bookmarkEnd w:id="1"/>
    <w:p w:rsidR="005C70A8" w:rsidRPr="00117E97" w:rsidRDefault="005C70A8" w:rsidP="005C70A8">
      <w:pPr>
        <w:tabs>
          <w:tab w:val="left" w:pos="5670"/>
        </w:tabs>
        <w:spacing w:line="360" w:lineRule="auto"/>
        <w:rPr>
          <w:rFonts w:ascii="Arial" w:hAnsi="Arial" w:cs="Arial"/>
          <w:sz w:val="22"/>
          <w:szCs w:val="22"/>
          <w:lang w:val="it-IT"/>
        </w:rPr>
      </w:pPr>
    </w:p>
    <w:p w:rsidR="005C70A8" w:rsidRPr="00117E97" w:rsidRDefault="005C70A8" w:rsidP="005C70A8">
      <w:pPr>
        <w:tabs>
          <w:tab w:val="left" w:pos="5670"/>
        </w:tabs>
        <w:spacing w:line="360" w:lineRule="auto"/>
        <w:rPr>
          <w:rFonts w:ascii="Arial" w:hAnsi="Arial" w:cs="Arial"/>
          <w:sz w:val="22"/>
          <w:szCs w:val="22"/>
          <w:lang w:val="it-IT"/>
        </w:rPr>
      </w:pPr>
      <w:r w:rsidRPr="00117E97">
        <w:rPr>
          <w:rFonts w:ascii="Arial" w:hAnsi="Arial" w:cs="Arial"/>
          <w:sz w:val="22"/>
          <w:szCs w:val="22"/>
          <w:lang w:val="it-IT"/>
        </w:rPr>
        <w:t>Il SoC Ryzen Embedded V2000 ad alte prestazioni integra la GPU AMD Radeon™ con un massimo di 7 unità di elaborazione (CU – Compute Unit). I miglioramenti in termini di rapporto tra prestazioni e consumi</w:t>
      </w:r>
      <w:r w:rsidRPr="00117E97">
        <w:rPr>
          <w:rFonts w:ascii="Arial" w:hAnsi="Arial" w:cs="Arial"/>
          <w:sz w:val="22"/>
          <w:szCs w:val="22"/>
          <w:vertAlign w:val="superscript"/>
          <w:lang w:val="it-IT"/>
        </w:rPr>
        <w:t>i</w:t>
      </w:r>
      <w:r w:rsidRPr="00117E97">
        <w:rPr>
          <w:rFonts w:ascii="Arial" w:hAnsi="Arial" w:cs="Arial"/>
          <w:sz w:val="22"/>
          <w:szCs w:val="22"/>
          <w:lang w:val="it-IT"/>
        </w:rPr>
        <w:t xml:space="preserve"> sono ascrivibili all'utilizzo dei core Zen 2 per la CPU che sono stati realizzati sfruttando un processo con geometria da 7 nm. L'ottimizzazione dell'architettura, inoltre, garantisce un incremento del numero di istruzioni eseguite in ogni ciclo di clock (IPC – Instruction per Cycle) che si aggira intorno al 15%.</w:t>
      </w:r>
      <w:r w:rsidRPr="00117E97">
        <w:rPr>
          <w:rStyle w:val="Endnotenzeichen"/>
          <w:rFonts w:ascii="Arial" w:hAnsi="Arial" w:cs="Arial"/>
          <w:lang w:val="it-IT"/>
        </w:rPr>
        <w:endnoteReference w:id="4"/>
      </w:r>
      <w:r w:rsidRPr="00117E97">
        <w:rPr>
          <w:rFonts w:ascii="Arial" w:hAnsi="Arial" w:cs="Arial"/>
          <w:sz w:val="22"/>
          <w:szCs w:val="22"/>
          <w:lang w:val="it-IT"/>
        </w:rPr>
        <w:t>.</w:t>
      </w:r>
    </w:p>
    <w:p w:rsidR="005C70A8" w:rsidRPr="00117E97" w:rsidRDefault="005C70A8" w:rsidP="005C70A8">
      <w:pPr>
        <w:tabs>
          <w:tab w:val="left" w:pos="5670"/>
        </w:tabs>
        <w:spacing w:line="360" w:lineRule="auto"/>
        <w:rPr>
          <w:rFonts w:ascii="Arial" w:hAnsi="Arial" w:cs="Arial"/>
          <w:sz w:val="22"/>
          <w:szCs w:val="22"/>
          <w:lang w:val="it-IT"/>
        </w:rPr>
      </w:pPr>
    </w:p>
    <w:p w:rsidR="005C70A8" w:rsidRPr="00117E97" w:rsidRDefault="005C70A8" w:rsidP="005C70A8">
      <w:pPr>
        <w:tabs>
          <w:tab w:val="left" w:pos="5670"/>
        </w:tabs>
        <w:spacing w:line="360" w:lineRule="auto"/>
        <w:rPr>
          <w:rFonts w:ascii="Arial" w:hAnsi="Arial" w:cs="Arial"/>
          <w:sz w:val="22"/>
          <w:szCs w:val="22"/>
          <w:lang w:val="it-IT"/>
        </w:rPr>
      </w:pPr>
      <w:r w:rsidRPr="00117E97">
        <w:rPr>
          <w:rFonts w:ascii="Arial" w:hAnsi="Arial" w:cs="Arial"/>
          <w:sz w:val="22"/>
          <w:szCs w:val="22"/>
          <w:lang w:val="it-IT"/>
        </w:rPr>
        <w:t>Grazie alla disponibilità di un massimo di 8 core (16 thread) in un singolo package BGA, i nuovi moduli COM si propongono come la soluzione ideale per supportare la crescente richiesta di digitalizzazione e di analisi alla periferia della rete che richiede l'esecuzione di elaborazioni in parallelo, compreso il bilanciamento e il consolidamento del carico di lavoro possibili grazie all'implementazione di macchine virtuali attraverso l'hypervisor RTS di congatec.</w:t>
      </w:r>
    </w:p>
    <w:p w:rsidR="005C70A8" w:rsidRPr="00117E97" w:rsidRDefault="005C70A8" w:rsidP="005C70A8">
      <w:pPr>
        <w:tabs>
          <w:tab w:val="left" w:pos="5670"/>
        </w:tabs>
        <w:spacing w:line="360" w:lineRule="auto"/>
        <w:rPr>
          <w:rFonts w:ascii="Arial" w:hAnsi="Arial" w:cs="Arial"/>
          <w:sz w:val="22"/>
          <w:szCs w:val="22"/>
          <w:lang w:val="it-IT"/>
        </w:rPr>
      </w:pPr>
    </w:p>
    <w:p w:rsidR="005C70A8" w:rsidRPr="00117E97" w:rsidRDefault="005C70A8" w:rsidP="005C70A8">
      <w:pPr>
        <w:tabs>
          <w:tab w:val="left" w:pos="5670"/>
        </w:tabs>
        <w:spacing w:line="360" w:lineRule="auto"/>
        <w:rPr>
          <w:rFonts w:ascii="Arial" w:hAnsi="Arial" w:cs="Arial"/>
          <w:sz w:val="22"/>
          <w:szCs w:val="22"/>
          <w:lang w:val="it-IT"/>
        </w:rPr>
      </w:pPr>
      <w:r w:rsidRPr="00117E97">
        <w:rPr>
          <w:rFonts w:ascii="Arial" w:hAnsi="Arial" w:cs="Arial"/>
          <w:sz w:val="22"/>
          <w:szCs w:val="22"/>
          <w:lang w:val="it-IT"/>
        </w:rPr>
        <w:t>I moduli possono essere impiegati in tutte le tradizionali applicazioni embedded, che spaziano da box PC industriali e thin client a sistemi di elaborazione embedded caratterizzati da elevate prestazioni dal punto di vista grafico e computazionale. Robotica “intelligente”, mobilità elettrica e veicoli autonomi che sfruttano un approccio basato su algoritmi di deep learning per ottimizzare la comprensione del contesto operativo (situational awareness) sono altri esempi di possibili applicazioni.</w:t>
      </w:r>
    </w:p>
    <w:p w:rsidR="005C70A8" w:rsidRPr="00117E97" w:rsidRDefault="005C70A8" w:rsidP="005C70A8">
      <w:pPr>
        <w:tabs>
          <w:tab w:val="left" w:pos="5670"/>
        </w:tabs>
        <w:spacing w:line="360" w:lineRule="auto"/>
        <w:rPr>
          <w:rFonts w:ascii="Arial" w:hAnsi="Arial" w:cs="Arial"/>
          <w:sz w:val="22"/>
          <w:szCs w:val="22"/>
          <w:lang w:val="it-IT"/>
        </w:rPr>
      </w:pPr>
    </w:p>
    <w:p w:rsidR="005C70A8" w:rsidRPr="00117E97" w:rsidRDefault="005C70A8" w:rsidP="005C70A8">
      <w:pPr>
        <w:tabs>
          <w:tab w:val="left" w:pos="5670"/>
        </w:tabs>
        <w:spacing w:line="360" w:lineRule="auto"/>
        <w:rPr>
          <w:rFonts w:ascii="Arial" w:hAnsi="Arial" w:cs="Arial"/>
          <w:sz w:val="22"/>
          <w:szCs w:val="22"/>
          <w:lang w:val="it-IT"/>
        </w:rPr>
      </w:pPr>
      <w:r w:rsidRPr="00117E97">
        <w:rPr>
          <w:rFonts w:ascii="Arial" w:hAnsi="Arial" w:cs="Arial"/>
          <w:sz w:val="22"/>
          <w:szCs w:val="22"/>
          <w:lang w:val="it-IT"/>
        </w:rPr>
        <w:t>“Grazie ai 16 thread – ha sottolineato Martin Danzer, direttore per le attività di Product Management di congatec – i sistemi embedded ad alte prestazioni ubicati alla periferia possono eseguire un numero doppio di processi a parità di TDP, un risultato di assoluto rilievo per l'elaborazione alla periferia della rete, dove il numero di processi che devono essere elaborati in parallelo è in continuo aumento. Senza dimenticare le prestazioni offerte dalla GPU grafica integrata che continua a garantire una grafica 3D di elevato livello qualitativo su un massimo di quattro display indipendenti con risoluzione 4k e velocità di refresh di 60 Hz. Tutto ciò è possibile utilizzando moduli caratterizzati da un TDP scalabile compreso tra 54 e 10 W”.</w:t>
      </w:r>
    </w:p>
    <w:p w:rsidR="005C70A8" w:rsidRPr="00117E97" w:rsidRDefault="005C70A8" w:rsidP="005C70A8">
      <w:pPr>
        <w:tabs>
          <w:tab w:val="left" w:pos="5670"/>
        </w:tabs>
        <w:spacing w:line="360" w:lineRule="auto"/>
        <w:rPr>
          <w:rFonts w:ascii="Arial" w:hAnsi="Arial" w:cs="Arial"/>
          <w:sz w:val="22"/>
          <w:szCs w:val="22"/>
          <w:lang w:val="it-IT"/>
        </w:rPr>
      </w:pPr>
    </w:p>
    <w:p w:rsidR="005C70A8" w:rsidRPr="00117E97" w:rsidRDefault="005C70A8" w:rsidP="005C70A8">
      <w:pPr>
        <w:spacing w:line="360" w:lineRule="auto"/>
        <w:rPr>
          <w:rFonts w:ascii="Arial" w:hAnsi="Arial" w:cs="Arial"/>
          <w:lang w:val="it-IT"/>
        </w:rPr>
      </w:pPr>
      <w:r w:rsidRPr="00117E97">
        <w:rPr>
          <w:rFonts w:ascii="Arial" w:hAnsi="Arial" w:cs="Arial"/>
          <w:sz w:val="22"/>
          <w:szCs w:val="22"/>
          <w:lang w:val="it-IT"/>
        </w:rPr>
        <w:t>“Siamo particolarmente lieti di cooperare con congate all'introduzione di questi nuovi moduli in formato COM Express che ospitano i nostri processori della serie Ryzen Embedded V2000” - ha detto Amey Deosthali, Direttore delle attività di Product Marketing dell'Embedded Business Group di AMD. “I moduli COM Express con pinout Type 6 di congatec sfruttano i nuovi processori Ryzen™ Embedded V2000 per offrire prestazioni decisamente spinte sia dal punto di vita grafico sia da quello dell'elaborazione”.</w:t>
      </w:r>
    </w:p>
    <w:p w:rsidR="005C70A8" w:rsidRPr="00117E97" w:rsidRDefault="005C70A8" w:rsidP="005C70A8">
      <w:pPr>
        <w:spacing w:line="360" w:lineRule="auto"/>
        <w:rPr>
          <w:rFonts w:ascii="Arial" w:hAnsi="Arial" w:cs="Arial"/>
          <w:lang w:val="it-IT"/>
        </w:rPr>
      </w:pPr>
    </w:p>
    <w:p w:rsidR="005C70A8" w:rsidRPr="00117E97" w:rsidRDefault="005C70A8" w:rsidP="005C70A8">
      <w:pPr>
        <w:spacing w:line="360" w:lineRule="auto"/>
        <w:rPr>
          <w:rFonts w:ascii="Arial" w:hAnsi="Arial" w:cs="Arial"/>
          <w:sz w:val="22"/>
          <w:szCs w:val="22"/>
          <w:lang w:val="it-IT"/>
        </w:rPr>
      </w:pPr>
      <w:r w:rsidRPr="00117E97">
        <w:rPr>
          <w:rFonts w:ascii="Arial" w:eastAsia="MS Mincho" w:hAnsi="Arial" w:cs="Arial"/>
          <w:b/>
          <w:sz w:val="22"/>
          <w:szCs w:val="22"/>
          <w:lang w:val="it-IT"/>
        </w:rPr>
        <w:t>Uno sguardo in profondità</w:t>
      </w:r>
    </w:p>
    <w:p w:rsidR="005C70A8" w:rsidRPr="00117E97" w:rsidRDefault="005C70A8" w:rsidP="005C70A8">
      <w:pPr>
        <w:spacing w:line="360" w:lineRule="auto"/>
        <w:rPr>
          <w:rFonts w:ascii="Arial" w:hAnsi="Arial" w:cs="Arial"/>
          <w:lang w:val="it-IT"/>
        </w:rPr>
      </w:pPr>
      <w:r w:rsidRPr="00117E97">
        <w:rPr>
          <w:rFonts w:ascii="Arial" w:hAnsi="Arial" w:cs="Arial"/>
          <w:sz w:val="22"/>
          <w:szCs w:val="22"/>
          <w:lang w:val="it-IT"/>
        </w:rPr>
        <w:t>I nuovi moduli conga-TCV2 ad alte prestazioni in formato COM Express Compact con pinout Type 6 basati sui più recenti processori multi-core Ryzen™ Embedded V2000 di AMD saranno disponibili in quattro differenti versioni:</w:t>
      </w:r>
    </w:p>
    <w:p w:rsidR="005C70A8" w:rsidRPr="00117E97" w:rsidRDefault="005C70A8" w:rsidP="005C70A8">
      <w:pPr>
        <w:spacing w:line="360" w:lineRule="auto"/>
        <w:rPr>
          <w:rFonts w:ascii="Arial" w:hAnsi="Arial" w:cs="Arial"/>
          <w:lang w:val="it-IT"/>
        </w:rPr>
      </w:pPr>
    </w:p>
    <w:p w:rsidR="005C70A8" w:rsidRPr="00117E97" w:rsidRDefault="005C70A8" w:rsidP="005C70A8">
      <w:pPr>
        <w:spacing w:line="360" w:lineRule="auto"/>
        <w:rPr>
          <w:rFonts w:ascii="Arial" w:hAnsi="Arial" w:cs="Arial"/>
          <w:lang w:val="it-IT"/>
        </w:rPr>
      </w:pPr>
    </w:p>
    <w:tbl>
      <w:tblPr>
        <w:tblW w:w="0" w:type="auto"/>
        <w:tblLayout w:type="fixed"/>
        <w:tblLook w:val="0000"/>
      </w:tblPr>
      <w:tblGrid>
        <w:gridCol w:w="1814"/>
        <w:gridCol w:w="283"/>
        <w:gridCol w:w="964"/>
        <w:gridCol w:w="236"/>
        <w:gridCol w:w="1361"/>
        <w:gridCol w:w="236"/>
        <w:gridCol w:w="1247"/>
        <w:gridCol w:w="236"/>
        <w:gridCol w:w="1088"/>
        <w:gridCol w:w="236"/>
        <w:gridCol w:w="966"/>
      </w:tblGrid>
      <w:tr w:rsidR="005C70A8" w:rsidRPr="00117E97" w:rsidTr="0008768B">
        <w:tc>
          <w:tcPr>
            <w:tcW w:w="1813" w:type="dxa"/>
            <w:tcBorders>
              <w:bottom w:val="single" w:sz="8" w:space="0" w:color="000000"/>
            </w:tcBorders>
            <w:shd w:val="clear" w:color="auto" w:fill="auto"/>
            <w:vAlign w:val="center"/>
          </w:tcPr>
          <w:p w:rsidR="005C70A8" w:rsidRPr="00117E97" w:rsidRDefault="005C70A8" w:rsidP="00E9738A">
            <w:pPr>
              <w:spacing w:line="360" w:lineRule="auto"/>
              <w:jc w:val="center"/>
              <w:rPr>
                <w:rFonts w:ascii="Arial" w:hAnsi="Arial" w:cs="Arial"/>
                <w:b/>
                <w:bCs/>
                <w:color w:val="262626"/>
                <w:sz w:val="18"/>
                <w:szCs w:val="18"/>
                <w:lang w:val="it-IT"/>
              </w:rPr>
            </w:pPr>
            <w:r w:rsidRPr="00117E97">
              <w:rPr>
                <w:rFonts w:ascii="Arial" w:hAnsi="Arial" w:cs="Arial"/>
                <w:b/>
                <w:bCs/>
                <w:color w:val="262626"/>
                <w:sz w:val="18"/>
                <w:szCs w:val="18"/>
                <w:lang w:val="it-IT"/>
              </w:rPr>
              <w:t>Processor</w:t>
            </w:r>
            <w:r w:rsidRPr="00117E97">
              <w:rPr>
                <w:rFonts w:ascii="Arial" w:hAnsi="Arial" w:cs="Arial"/>
                <w:b/>
                <w:bCs/>
                <w:color w:val="262626"/>
                <w:sz w:val="18"/>
                <w:szCs w:val="18"/>
                <w:lang w:val="en-US"/>
              </w:rPr>
              <w:t>e</w:t>
            </w:r>
          </w:p>
        </w:tc>
        <w:tc>
          <w:tcPr>
            <w:tcW w:w="283" w:type="dxa"/>
            <w:shd w:val="clear" w:color="auto" w:fill="auto"/>
            <w:vAlign w:val="center"/>
          </w:tcPr>
          <w:p w:rsidR="005C70A8" w:rsidRPr="00117E97" w:rsidRDefault="005C70A8" w:rsidP="00E9738A">
            <w:pPr>
              <w:snapToGrid w:val="0"/>
              <w:spacing w:line="360" w:lineRule="auto"/>
              <w:jc w:val="center"/>
              <w:rPr>
                <w:rFonts w:ascii="Arial" w:hAnsi="Arial" w:cs="Arial"/>
                <w:b/>
                <w:bCs/>
                <w:color w:val="262626"/>
                <w:sz w:val="18"/>
                <w:szCs w:val="18"/>
                <w:lang w:val="it-IT"/>
              </w:rPr>
            </w:pPr>
          </w:p>
        </w:tc>
        <w:tc>
          <w:tcPr>
            <w:tcW w:w="963" w:type="dxa"/>
            <w:tcBorders>
              <w:bottom w:val="single" w:sz="8" w:space="0" w:color="000000"/>
            </w:tcBorders>
            <w:shd w:val="clear" w:color="auto" w:fill="auto"/>
            <w:vAlign w:val="center"/>
          </w:tcPr>
          <w:p w:rsidR="005C70A8" w:rsidRPr="00117E97" w:rsidRDefault="005C70A8" w:rsidP="00E9738A">
            <w:pPr>
              <w:spacing w:line="360" w:lineRule="auto"/>
              <w:jc w:val="center"/>
              <w:rPr>
                <w:rFonts w:ascii="Arial" w:hAnsi="Arial" w:cs="Arial"/>
                <w:b/>
                <w:bCs/>
                <w:color w:val="262626"/>
                <w:sz w:val="18"/>
                <w:szCs w:val="18"/>
                <w:lang w:val="it-IT"/>
              </w:rPr>
            </w:pPr>
            <w:r w:rsidRPr="00117E97">
              <w:rPr>
                <w:rFonts w:ascii="Arial" w:hAnsi="Arial" w:cs="Arial"/>
                <w:b/>
                <w:bCs/>
                <w:color w:val="262626"/>
                <w:sz w:val="18"/>
                <w:szCs w:val="18"/>
                <w:lang w:val="it-IT"/>
              </w:rPr>
              <w:t>N° di core/</w:t>
            </w:r>
            <w:r w:rsidRPr="00117E97">
              <w:rPr>
                <w:rFonts w:ascii="Arial" w:hAnsi="Arial" w:cs="Arial"/>
                <w:b/>
                <w:bCs/>
                <w:color w:val="262626"/>
                <w:sz w:val="18"/>
                <w:szCs w:val="18"/>
                <w:lang w:val="it-IT"/>
              </w:rPr>
              <w:br/>
              <w:t>thread</w:t>
            </w:r>
          </w:p>
        </w:tc>
        <w:tc>
          <w:tcPr>
            <w:tcW w:w="236" w:type="dxa"/>
            <w:shd w:val="clear" w:color="auto" w:fill="auto"/>
            <w:vAlign w:val="center"/>
          </w:tcPr>
          <w:p w:rsidR="005C70A8" w:rsidRPr="00117E97" w:rsidRDefault="005C70A8" w:rsidP="00E9738A">
            <w:pPr>
              <w:snapToGrid w:val="0"/>
              <w:spacing w:line="360" w:lineRule="auto"/>
              <w:jc w:val="center"/>
              <w:rPr>
                <w:rFonts w:ascii="Arial" w:hAnsi="Arial" w:cs="Arial"/>
                <w:b/>
                <w:bCs/>
                <w:color w:val="262626"/>
                <w:sz w:val="18"/>
                <w:szCs w:val="18"/>
                <w:lang w:val="it-IT"/>
              </w:rPr>
            </w:pPr>
          </w:p>
        </w:tc>
        <w:tc>
          <w:tcPr>
            <w:tcW w:w="1360" w:type="dxa"/>
            <w:tcBorders>
              <w:bottom w:val="single" w:sz="4" w:space="0" w:color="000000"/>
            </w:tcBorders>
            <w:shd w:val="clear" w:color="auto" w:fill="auto"/>
            <w:vAlign w:val="center"/>
          </w:tcPr>
          <w:p w:rsidR="005C70A8" w:rsidRPr="00117E97" w:rsidRDefault="005C70A8" w:rsidP="00E9738A">
            <w:pPr>
              <w:spacing w:line="360" w:lineRule="auto"/>
              <w:jc w:val="center"/>
              <w:rPr>
                <w:rFonts w:ascii="Arial" w:hAnsi="Arial" w:cs="Arial"/>
                <w:b/>
                <w:bCs/>
                <w:color w:val="262626"/>
                <w:sz w:val="18"/>
                <w:szCs w:val="18"/>
                <w:lang w:val="it-IT"/>
              </w:rPr>
            </w:pPr>
            <w:r w:rsidRPr="00117E97">
              <w:rPr>
                <w:rFonts w:ascii="Arial" w:hAnsi="Arial" w:cs="Arial"/>
                <w:b/>
                <w:bCs/>
                <w:color w:val="262626"/>
                <w:sz w:val="18"/>
                <w:szCs w:val="18"/>
                <w:lang w:val="it-IT"/>
              </w:rPr>
              <w:t>Clock [GHz] (Base/Boost)</w:t>
            </w:r>
            <w:r w:rsidRPr="00117E97">
              <w:rPr>
                <w:rStyle w:val="Endnotenzeichen"/>
                <w:rFonts w:ascii="Arial" w:hAnsi="Arial" w:cs="Arial"/>
                <w:lang w:val="it-IT"/>
              </w:rPr>
              <w:endnoteReference w:id="5"/>
            </w:r>
            <w:r w:rsidRPr="00117E97">
              <w:rPr>
                <w:rFonts w:ascii="Arial" w:hAnsi="Arial" w:cs="Arial"/>
                <w:b/>
                <w:bCs/>
                <w:color w:val="262626"/>
                <w:sz w:val="18"/>
                <w:szCs w:val="18"/>
                <w:lang w:val="it-IT"/>
              </w:rPr>
              <w:t xml:space="preserve"> </w:t>
            </w:r>
          </w:p>
        </w:tc>
        <w:tc>
          <w:tcPr>
            <w:tcW w:w="236" w:type="dxa"/>
            <w:shd w:val="clear" w:color="auto" w:fill="auto"/>
          </w:tcPr>
          <w:p w:rsidR="005C70A8" w:rsidRPr="00117E97" w:rsidRDefault="005C70A8" w:rsidP="00E9738A">
            <w:pPr>
              <w:snapToGrid w:val="0"/>
              <w:spacing w:line="360" w:lineRule="auto"/>
              <w:jc w:val="center"/>
              <w:rPr>
                <w:rFonts w:ascii="Arial" w:hAnsi="Arial" w:cs="Arial"/>
                <w:b/>
                <w:bCs/>
                <w:color w:val="262626"/>
                <w:sz w:val="18"/>
                <w:szCs w:val="18"/>
                <w:lang w:val="it-IT"/>
              </w:rPr>
            </w:pPr>
          </w:p>
        </w:tc>
        <w:tc>
          <w:tcPr>
            <w:tcW w:w="1247" w:type="dxa"/>
            <w:tcBorders>
              <w:bottom w:val="single" w:sz="4" w:space="0" w:color="000000"/>
            </w:tcBorders>
            <w:shd w:val="clear" w:color="auto" w:fill="auto"/>
            <w:vAlign w:val="center"/>
          </w:tcPr>
          <w:p w:rsidR="005C70A8" w:rsidRPr="00117E97" w:rsidRDefault="005C70A8" w:rsidP="00E9738A">
            <w:pPr>
              <w:spacing w:line="360" w:lineRule="auto"/>
              <w:jc w:val="center"/>
              <w:rPr>
                <w:rFonts w:ascii="Arial" w:hAnsi="Arial" w:cs="Arial"/>
                <w:b/>
                <w:bCs/>
                <w:color w:val="262626"/>
                <w:sz w:val="18"/>
                <w:szCs w:val="18"/>
                <w:lang w:val="it-IT"/>
              </w:rPr>
            </w:pPr>
            <w:r w:rsidRPr="00117E97">
              <w:rPr>
                <w:rFonts w:ascii="Arial" w:hAnsi="Arial" w:cs="Arial"/>
                <w:b/>
                <w:bCs/>
                <w:color w:val="262626"/>
                <w:sz w:val="18"/>
                <w:szCs w:val="18"/>
                <w:lang w:val="it-IT"/>
              </w:rPr>
              <w:t xml:space="preserve">L2/L3 </w:t>
            </w:r>
            <w:r w:rsidRPr="00117E97">
              <w:rPr>
                <w:rFonts w:ascii="Arial" w:hAnsi="Arial" w:cs="Arial"/>
                <w:b/>
                <w:bCs/>
                <w:color w:val="262626"/>
                <w:sz w:val="18"/>
                <w:szCs w:val="18"/>
                <w:lang w:val="it-IT"/>
              </w:rPr>
              <w:br/>
              <w:t xml:space="preserve">Cache (MB) </w:t>
            </w:r>
          </w:p>
        </w:tc>
        <w:tc>
          <w:tcPr>
            <w:tcW w:w="236" w:type="dxa"/>
            <w:shd w:val="clear" w:color="auto" w:fill="auto"/>
            <w:vAlign w:val="center"/>
          </w:tcPr>
          <w:p w:rsidR="005C70A8" w:rsidRPr="00117E97" w:rsidRDefault="005C70A8" w:rsidP="00E9738A">
            <w:pPr>
              <w:snapToGrid w:val="0"/>
              <w:spacing w:line="360" w:lineRule="auto"/>
              <w:jc w:val="center"/>
              <w:rPr>
                <w:rFonts w:ascii="Arial" w:hAnsi="Arial" w:cs="Arial"/>
                <w:b/>
                <w:bCs/>
                <w:color w:val="262626"/>
                <w:sz w:val="18"/>
                <w:szCs w:val="18"/>
                <w:lang w:val="it-IT"/>
              </w:rPr>
            </w:pPr>
          </w:p>
        </w:tc>
        <w:tc>
          <w:tcPr>
            <w:tcW w:w="1088" w:type="dxa"/>
            <w:tcBorders>
              <w:bottom w:val="single" w:sz="8" w:space="0" w:color="000000"/>
            </w:tcBorders>
            <w:shd w:val="clear" w:color="auto" w:fill="auto"/>
            <w:vAlign w:val="center"/>
          </w:tcPr>
          <w:p w:rsidR="005C70A8" w:rsidRPr="00117E97" w:rsidRDefault="005C70A8" w:rsidP="00E9738A">
            <w:pPr>
              <w:spacing w:line="360" w:lineRule="auto"/>
              <w:jc w:val="center"/>
              <w:rPr>
                <w:rFonts w:ascii="Arial" w:hAnsi="Arial" w:cs="Arial"/>
                <w:b/>
                <w:bCs/>
                <w:color w:val="262626"/>
                <w:sz w:val="18"/>
                <w:szCs w:val="18"/>
                <w:lang w:val="it-IT"/>
              </w:rPr>
            </w:pPr>
            <w:r w:rsidRPr="00117E97">
              <w:rPr>
                <w:rFonts w:ascii="Arial" w:hAnsi="Arial" w:cs="Arial"/>
                <w:b/>
                <w:bCs/>
                <w:color w:val="262626"/>
                <w:sz w:val="18"/>
                <w:szCs w:val="18"/>
                <w:lang w:val="it-IT"/>
              </w:rPr>
              <w:t xml:space="preserve">N° di CU della GPU </w:t>
            </w:r>
          </w:p>
        </w:tc>
        <w:tc>
          <w:tcPr>
            <w:tcW w:w="236" w:type="dxa"/>
            <w:shd w:val="clear" w:color="auto" w:fill="auto"/>
            <w:vAlign w:val="center"/>
          </w:tcPr>
          <w:p w:rsidR="005C70A8" w:rsidRPr="00117E97" w:rsidRDefault="005C70A8" w:rsidP="00E9738A">
            <w:pPr>
              <w:snapToGrid w:val="0"/>
              <w:spacing w:line="360" w:lineRule="auto"/>
              <w:jc w:val="center"/>
              <w:rPr>
                <w:rFonts w:ascii="Arial" w:hAnsi="Arial" w:cs="Arial"/>
                <w:b/>
                <w:bCs/>
                <w:color w:val="262626"/>
                <w:sz w:val="18"/>
                <w:szCs w:val="18"/>
                <w:lang w:val="it-IT"/>
              </w:rPr>
            </w:pPr>
          </w:p>
        </w:tc>
        <w:tc>
          <w:tcPr>
            <w:tcW w:w="966" w:type="dxa"/>
            <w:tcBorders>
              <w:bottom w:val="single" w:sz="8" w:space="0" w:color="000000"/>
            </w:tcBorders>
            <w:shd w:val="clear" w:color="auto" w:fill="auto"/>
            <w:vAlign w:val="center"/>
          </w:tcPr>
          <w:p w:rsidR="005C70A8" w:rsidRPr="00117E97" w:rsidRDefault="005C70A8" w:rsidP="00E9738A">
            <w:pPr>
              <w:spacing w:line="360" w:lineRule="auto"/>
              <w:jc w:val="center"/>
              <w:rPr>
                <w:rFonts w:ascii="Arial" w:hAnsi="Arial" w:cs="Arial"/>
              </w:rPr>
            </w:pPr>
            <w:r w:rsidRPr="00117E97">
              <w:rPr>
                <w:rFonts w:ascii="Arial" w:hAnsi="Arial" w:cs="Arial"/>
                <w:b/>
                <w:bCs/>
                <w:color w:val="000000"/>
                <w:sz w:val="18"/>
                <w:szCs w:val="18"/>
                <w:lang w:val="it-IT"/>
              </w:rPr>
              <w:t xml:space="preserve">TDP [W] </w:t>
            </w:r>
          </w:p>
        </w:tc>
      </w:tr>
      <w:tr w:rsidR="0008768B" w:rsidRPr="00117E97" w:rsidTr="0008768B">
        <w:tblPrEx>
          <w:tblLook w:val="04A0"/>
        </w:tblPrEx>
        <w:tc>
          <w:tcPr>
            <w:tcW w:w="1814" w:type="dxa"/>
            <w:tcBorders>
              <w:top w:val="single" w:sz="8" w:space="0" w:color="auto"/>
              <w:bottom w:val="single" w:sz="8" w:space="0" w:color="auto"/>
            </w:tcBorders>
            <w:vAlign w:val="center"/>
          </w:tcPr>
          <w:p w:rsidR="0008768B" w:rsidRPr="00117E97" w:rsidRDefault="0008768B" w:rsidP="00C6297B">
            <w:pPr>
              <w:spacing w:line="276" w:lineRule="auto"/>
              <w:rPr>
                <w:rFonts w:ascii="Arial" w:hAnsi="Arial" w:cs="Arial"/>
                <w:bCs/>
                <w:color w:val="262626"/>
                <w:sz w:val="18"/>
                <w:szCs w:val="18"/>
                <w:lang w:val="en-US" w:eastAsia="de-DE"/>
              </w:rPr>
            </w:pPr>
            <w:r w:rsidRPr="00117E97">
              <w:rPr>
                <w:rFonts w:ascii="Arial" w:hAnsi="Arial" w:cs="Arial"/>
                <w:bCs/>
                <w:color w:val="262626"/>
                <w:sz w:val="18"/>
                <w:szCs w:val="18"/>
                <w:lang w:val="en-US" w:eastAsia="de-DE"/>
              </w:rPr>
              <w:t xml:space="preserve">AMD Ryzen™ Embedded </w:t>
            </w:r>
            <w:r w:rsidRPr="00117E97">
              <w:rPr>
                <w:rFonts w:ascii="Arial" w:hAnsi="Arial" w:cs="Arial"/>
                <w:bCs/>
                <w:color w:val="262626"/>
                <w:sz w:val="18"/>
                <w:szCs w:val="18"/>
                <w:lang w:val="en-US"/>
              </w:rPr>
              <w:t>V2748</w:t>
            </w:r>
          </w:p>
        </w:tc>
        <w:tc>
          <w:tcPr>
            <w:tcW w:w="283" w:type="dxa"/>
            <w:vAlign w:val="center"/>
          </w:tcPr>
          <w:p w:rsidR="0008768B" w:rsidRPr="00117E97" w:rsidRDefault="0008768B" w:rsidP="00C6297B">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08768B" w:rsidRPr="00117E97" w:rsidRDefault="0008768B" w:rsidP="00C6297B">
            <w:pPr>
              <w:jc w:val="center"/>
              <w:rPr>
                <w:rFonts w:ascii="Arial" w:hAnsi="Arial" w:cs="Arial"/>
                <w:sz w:val="18"/>
                <w:szCs w:val="18"/>
                <w:lang w:val="en-US"/>
              </w:rPr>
            </w:pPr>
            <w:r w:rsidRPr="00117E97">
              <w:rPr>
                <w:rFonts w:ascii="Arial" w:hAnsi="Arial" w:cs="Arial"/>
                <w:bCs/>
                <w:color w:val="262626"/>
                <w:sz w:val="18"/>
                <w:szCs w:val="18"/>
                <w:lang w:val="en-US" w:eastAsia="de-DE"/>
              </w:rPr>
              <w:t>8 / 16</w:t>
            </w:r>
          </w:p>
        </w:tc>
        <w:tc>
          <w:tcPr>
            <w:tcW w:w="236" w:type="dxa"/>
            <w:vAlign w:val="center"/>
          </w:tcPr>
          <w:p w:rsidR="0008768B" w:rsidRPr="00117E97" w:rsidRDefault="0008768B" w:rsidP="00C6297B">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08768B" w:rsidRPr="00117E97" w:rsidRDefault="0008768B" w:rsidP="00C6297B">
            <w:pPr>
              <w:spacing w:line="360" w:lineRule="auto"/>
              <w:jc w:val="center"/>
              <w:rPr>
                <w:rFonts w:ascii="Arial" w:hAnsi="Arial" w:cs="Arial"/>
                <w:bCs/>
                <w:color w:val="262626"/>
                <w:sz w:val="18"/>
                <w:szCs w:val="18"/>
                <w:lang w:val="en-US" w:eastAsia="de-DE"/>
              </w:rPr>
            </w:pPr>
            <w:r w:rsidRPr="00117E97">
              <w:rPr>
                <w:rFonts w:ascii="Arial" w:hAnsi="Arial" w:cs="Arial"/>
                <w:bCs/>
                <w:color w:val="262626"/>
                <w:sz w:val="18"/>
                <w:szCs w:val="18"/>
                <w:lang w:val="en-US" w:eastAsia="de-DE"/>
              </w:rPr>
              <w:t>2.9 / 4.25</w:t>
            </w:r>
          </w:p>
        </w:tc>
        <w:tc>
          <w:tcPr>
            <w:tcW w:w="236" w:type="dxa"/>
          </w:tcPr>
          <w:p w:rsidR="0008768B" w:rsidRPr="00117E97" w:rsidRDefault="0008768B" w:rsidP="00C6297B">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08768B" w:rsidRPr="00117E97" w:rsidRDefault="0008768B" w:rsidP="00C6297B">
            <w:pPr>
              <w:spacing w:line="360" w:lineRule="auto"/>
              <w:jc w:val="center"/>
              <w:rPr>
                <w:rFonts w:ascii="Arial" w:hAnsi="Arial" w:cs="Arial"/>
                <w:bCs/>
                <w:color w:val="262626"/>
                <w:sz w:val="18"/>
                <w:szCs w:val="18"/>
                <w:lang w:val="en-US" w:eastAsia="de-DE"/>
              </w:rPr>
            </w:pPr>
            <w:r w:rsidRPr="00117E97">
              <w:rPr>
                <w:rFonts w:ascii="Arial" w:hAnsi="Arial" w:cs="Arial"/>
                <w:bCs/>
                <w:color w:val="262626"/>
                <w:sz w:val="18"/>
                <w:szCs w:val="18"/>
                <w:lang w:val="en-US" w:eastAsia="de-DE"/>
              </w:rPr>
              <w:t>4 / 8</w:t>
            </w:r>
          </w:p>
        </w:tc>
        <w:tc>
          <w:tcPr>
            <w:tcW w:w="236" w:type="dxa"/>
            <w:vAlign w:val="center"/>
          </w:tcPr>
          <w:p w:rsidR="0008768B" w:rsidRPr="00117E97" w:rsidRDefault="0008768B" w:rsidP="00C6297B">
            <w:pPr>
              <w:spacing w:line="276" w:lineRule="auto"/>
              <w:jc w:val="center"/>
              <w:rPr>
                <w:rFonts w:ascii="Arial" w:hAnsi="Arial" w:cs="Arial"/>
                <w:sz w:val="18"/>
                <w:szCs w:val="18"/>
                <w:lang w:val="en-US"/>
              </w:rPr>
            </w:pPr>
          </w:p>
        </w:tc>
        <w:tc>
          <w:tcPr>
            <w:tcW w:w="1088" w:type="dxa"/>
            <w:tcBorders>
              <w:top w:val="single" w:sz="8" w:space="0" w:color="auto"/>
              <w:bottom w:val="single" w:sz="8" w:space="0" w:color="auto"/>
            </w:tcBorders>
            <w:vAlign w:val="center"/>
          </w:tcPr>
          <w:p w:rsidR="0008768B" w:rsidRPr="00117E97" w:rsidRDefault="0008768B" w:rsidP="00C6297B">
            <w:pPr>
              <w:spacing w:line="276" w:lineRule="auto"/>
              <w:jc w:val="center"/>
              <w:rPr>
                <w:rFonts w:ascii="Arial" w:hAnsi="Arial" w:cs="Arial"/>
                <w:sz w:val="18"/>
                <w:szCs w:val="18"/>
                <w:lang w:val="en-US"/>
              </w:rPr>
            </w:pPr>
            <w:r w:rsidRPr="00117E97">
              <w:rPr>
                <w:rFonts w:ascii="Arial" w:hAnsi="Arial" w:cs="Arial"/>
                <w:sz w:val="18"/>
                <w:szCs w:val="18"/>
                <w:lang w:val="en-US"/>
              </w:rPr>
              <w:t>7</w:t>
            </w:r>
          </w:p>
        </w:tc>
        <w:tc>
          <w:tcPr>
            <w:tcW w:w="236" w:type="dxa"/>
            <w:vAlign w:val="center"/>
          </w:tcPr>
          <w:p w:rsidR="0008768B" w:rsidRPr="00117E97" w:rsidRDefault="0008768B" w:rsidP="00C6297B">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08768B" w:rsidRPr="00117E97" w:rsidRDefault="0008768B" w:rsidP="00C6297B">
            <w:pPr>
              <w:spacing w:line="276" w:lineRule="auto"/>
              <w:jc w:val="center"/>
              <w:rPr>
                <w:rFonts w:ascii="Arial" w:hAnsi="Arial" w:cs="Arial"/>
                <w:sz w:val="18"/>
                <w:szCs w:val="18"/>
                <w:lang w:val="en-US"/>
              </w:rPr>
            </w:pPr>
            <w:r w:rsidRPr="00117E97">
              <w:rPr>
                <w:rFonts w:ascii="Arial" w:hAnsi="Arial" w:cs="Arial"/>
                <w:sz w:val="18"/>
                <w:szCs w:val="18"/>
                <w:lang w:val="en-US"/>
              </w:rPr>
              <w:t>35 – 54</w:t>
            </w:r>
          </w:p>
        </w:tc>
      </w:tr>
      <w:tr w:rsidR="0008768B" w:rsidRPr="00117E97" w:rsidTr="0008768B">
        <w:tblPrEx>
          <w:tblLook w:val="04A0"/>
        </w:tblPrEx>
        <w:tc>
          <w:tcPr>
            <w:tcW w:w="1814" w:type="dxa"/>
            <w:tcBorders>
              <w:top w:val="single" w:sz="8" w:space="0" w:color="auto"/>
              <w:bottom w:val="single" w:sz="8" w:space="0" w:color="auto"/>
            </w:tcBorders>
            <w:vAlign w:val="center"/>
          </w:tcPr>
          <w:p w:rsidR="0008768B" w:rsidRPr="00117E97" w:rsidRDefault="0008768B" w:rsidP="00C6297B">
            <w:pPr>
              <w:spacing w:line="276" w:lineRule="auto"/>
              <w:rPr>
                <w:rFonts w:ascii="Arial" w:hAnsi="Arial" w:cs="Arial"/>
                <w:bCs/>
                <w:color w:val="262626"/>
                <w:sz w:val="18"/>
                <w:szCs w:val="18"/>
                <w:lang w:val="en-US" w:eastAsia="de-DE"/>
              </w:rPr>
            </w:pPr>
            <w:r w:rsidRPr="00117E97">
              <w:rPr>
                <w:rFonts w:ascii="Arial" w:hAnsi="Arial" w:cs="Arial"/>
                <w:bCs/>
                <w:color w:val="262626"/>
                <w:sz w:val="18"/>
                <w:szCs w:val="18"/>
                <w:lang w:val="en-US" w:eastAsia="de-DE"/>
              </w:rPr>
              <w:t xml:space="preserve">AMD Ryzen™ Embedded </w:t>
            </w:r>
            <w:r w:rsidRPr="00117E97">
              <w:rPr>
                <w:rFonts w:ascii="Arial" w:hAnsi="Arial" w:cs="Arial"/>
                <w:bCs/>
                <w:color w:val="262626"/>
                <w:sz w:val="18"/>
                <w:szCs w:val="18"/>
                <w:lang w:val="en-US"/>
              </w:rPr>
              <w:t>V2718</w:t>
            </w:r>
          </w:p>
        </w:tc>
        <w:tc>
          <w:tcPr>
            <w:tcW w:w="283" w:type="dxa"/>
            <w:vAlign w:val="center"/>
          </w:tcPr>
          <w:p w:rsidR="0008768B" w:rsidRPr="00117E97" w:rsidRDefault="0008768B" w:rsidP="00C6297B">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08768B" w:rsidRPr="00117E97" w:rsidRDefault="0008768B" w:rsidP="00C6297B">
            <w:pPr>
              <w:jc w:val="center"/>
              <w:rPr>
                <w:rFonts w:ascii="Arial" w:hAnsi="Arial" w:cs="Arial"/>
                <w:sz w:val="18"/>
                <w:szCs w:val="18"/>
                <w:lang w:val="en-US"/>
              </w:rPr>
            </w:pPr>
            <w:r w:rsidRPr="00117E97">
              <w:rPr>
                <w:rFonts w:ascii="Arial" w:hAnsi="Arial" w:cs="Arial"/>
                <w:bCs/>
                <w:color w:val="262626"/>
                <w:sz w:val="18"/>
                <w:szCs w:val="18"/>
                <w:lang w:val="en-US" w:eastAsia="de-DE"/>
              </w:rPr>
              <w:t>8 / 16</w:t>
            </w:r>
          </w:p>
        </w:tc>
        <w:tc>
          <w:tcPr>
            <w:tcW w:w="236" w:type="dxa"/>
            <w:vAlign w:val="center"/>
          </w:tcPr>
          <w:p w:rsidR="0008768B" w:rsidRPr="00117E97" w:rsidRDefault="0008768B" w:rsidP="00C6297B">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08768B" w:rsidRPr="00117E97" w:rsidRDefault="0008768B" w:rsidP="00C6297B">
            <w:pPr>
              <w:spacing w:line="360" w:lineRule="auto"/>
              <w:jc w:val="center"/>
              <w:rPr>
                <w:rFonts w:ascii="Arial" w:hAnsi="Arial" w:cs="Arial"/>
                <w:bCs/>
                <w:color w:val="262626"/>
                <w:sz w:val="18"/>
                <w:szCs w:val="18"/>
                <w:lang w:val="en-US" w:eastAsia="de-DE"/>
              </w:rPr>
            </w:pPr>
            <w:r w:rsidRPr="00117E97">
              <w:rPr>
                <w:rFonts w:ascii="Arial" w:hAnsi="Arial" w:cs="Arial"/>
                <w:bCs/>
                <w:color w:val="262626"/>
                <w:sz w:val="18"/>
                <w:szCs w:val="18"/>
                <w:lang w:val="en-US" w:eastAsia="de-DE"/>
              </w:rPr>
              <w:t>1.7 / 4.15</w:t>
            </w:r>
          </w:p>
        </w:tc>
        <w:tc>
          <w:tcPr>
            <w:tcW w:w="236" w:type="dxa"/>
          </w:tcPr>
          <w:p w:rsidR="0008768B" w:rsidRPr="00117E97" w:rsidRDefault="0008768B" w:rsidP="00C6297B">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08768B" w:rsidRPr="00117E97" w:rsidRDefault="0008768B" w:rsidP="00C6297B">
            <w:pPr>
              <w:spacing w:line="360" w:lineRule="auto"/>
              <w:jc w:val="center"/>
              <w:rPr>
                <w:rFonts w:ascii="Arial" w:hAnsi="Arial" w:cs="Arial"/>
                <w:bCs/>
                <w:color w:val="262626"/>
                <w:sz w:val="18"/>
                <w:szCs w:val="18"/>
                <w:lang w:val="en-US" w:eastAsia="de-DE"/>
              </w:rPr>
            </w:pPr>
            <w:r w:rsidRPr="00117E97">
              <w:rPr>
                <w:rFonts w:ascii="Arial" w:hAnsi="Arial" w:cs="Arial"/>
                <w:bCs/>
                <w:color w:val="262626"/>
                <w:sz w:val="18"/>
                <w:szCs w:val="18"/>
                <w:lang w:val="en-US" w:eastAsia="de-DE"/>
              </w:rPr>
              <w:t>4 / 8</w:t>
            </w:r>
          </w:p>
        </w:tc>
        <w:tc>
          <w:tcPr>
            <w:tcW w:w="236" w:type="dxa"/>
            <w:vAlign w:val="center"/>
          </w:tcPr>
          <w:p w:rsidR="0008768B" w:rsidRPr="00117E97" w:rsidRDefault="0008768B" w:rsidP="00C6297B">
            <w:pPr>
              <w:spacing w:line="276" w:lineRule="auto"/>
              <w:jc w:val="center"/>
              <w:rPr>
                <w:rFonts w:ascii="Arial" w:hAnsi="Arial" w:cs="Arial"/>
                <w:sz w:val="18"/>
                <w:szCs w:val="18"/>
                <w:lang w:val="en-US"/>
              </w:rPr>
            </w:pPr>
          </w:p>
        </w:tc>
        <w:tc>
          <w:tcPr>
            <w:tcW w:w="1088" w:type="dxa"/>
            <w:tcBorders>
              <w:top w:val="single" w:sz="8" w:space="0" w:color="auto"/>
              <w:bottom w:val="single" w:sz="8" w:space="0" w:color="auto"/>
            </w:tcBorders>
            <w:vAlign w:val="center"/>
          </w:tcPr>
          <w:p w:rsidR="0008768B" w:rsidRPr="00117E97" w:rsidRDefault="0008768B" w:rsidP="00C6297B">
            <w:pPr>
              <w:spacing w:line="276" w:lineRule="auto"/>
              <w:jc w:val="center"/>
              <w:rPr>
                <w:rFonts w:ascii="Arial" w:hAnsi="Arial" w:cs="Arial"/>
                <w:sz w:val="18"/>
                <w:szCs w:val="18"/>
                <w:lang w:val="en-US"/>
              </w:rPr>
            </w:pPr>
            <w:r w:rsidRPr="00117E97">
              <w:rPr>
                <w:rFonts w:ascii="Arial" w:hAnsi="Arial" w:cs="Arial"/>
                <w:sz w:val="18"/>
                <w:szCs w:val="18"/>
                <w:lang w:val="en-US"/>
              </w:rPr>
              <w:t>7</w:t>
            </w:r>
          </w:p>
        </w:tc>
        <w:tc>
          <w:tcPr>
            <w:tcW w:w="236" w:type="dxa"/>
            <w:vAlign w:val="center"/>
          </w:tcPr>
          <w:p w:rsidR="0008768B" w:rsidRPr="00117E97" w:rsidRDefault="0008768B" w:rsidP="00C6297B">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08768B" w:rsidRPr="00117E97" w:rsidRDefault="0008768B" w:rsidP="00C6297B">
            <w:pPr>
              <w:spacing w:line="276" w:lineRule="auto"/>
              <w:jc w:val="center"/>
              <w:rPr>
                <w:rFonts w:ascii="Arial" w:hAnsi="Arial" w:cs="Arial"/>
                <w:sz w:val="18"/>
                <w:szCs w:val="18"/>
                <w:lang w:val="en-US"/>
              </w:rPr>
            </w:pPr>
            <w:r w:rsidRPr="00117E97">
              <w:rPr>
                <w:rFonts w:ascii="Arial" w:hAnsi="Arial" w:cs="Arial"/>
                <w:sz w:val="18"/>
                <w:szCs w:val="18"/>
                <w:lang w:val="en-US"/>
              </w:rPr>
              <w:t>10 – 25</w:t>
            </w:r>
          </w:p>
        </w:tc>
      </w:tr>
      <w:tr w:rsidR="0008768B" w:rsidRPr="00117E97" w:rsidTr="0008768B">
        <w:tblPrEx>
          <w:tblLook w:val="04A0"/>
        </w:tblPrEx>
        <w:tc>
          <w:tcPr>
            <w:tcW w:w="1814" w:type="dxa"/>
            <w:tcBorders>
              <w:top w:val="single" w:sz="8" w:space="0" w:color="auto"/>
              <w:bottom w:val="single" w:sz="8" w:space="0" w:color="auto"/>
            </w:tcBorders>
            <w:vAlign w:val="center"/>
          </w:tcPr>
          <w:p w:rsidR="0008768B" w:rsidRPr="00117E97" w:rsidRDefault="0008768B" w:rsidP="00C6297B">
            <w:pPr>
              <w:spacing w:line="276" w:lineRule="auto"/>
              <w:rPr>
                <w:rFonts w:ascii="Arial" w:hAnsi="Arial" w:cs="Arial"/>
                <w:bCs/>
                <w:color w:val="262626"/>
                <w:sz w:val="18"/>
                <w:szCs w:val="18"/>
                <w:lang w:val="en-US" w:eastAsia="de-DE"/>
              </w:rPr>
            </w:pPr>
            <w:r w:rsidRPr="00117E97">
              <w:rPr>
                <w:rFonts w:ascii="Arial" w:hAnsi="Arial" w:cs="Arial"/>
                <w:bCs/>
                <w:color w:val="262626"/>
                <w:sz w:val="18"/>
                <w:szCs w:val="18"/>
                <w:lang w:val="en-US" w:eastAsia="de-DE"/>
              </w:rPr>
              <w:t xml:space="preserve">AMD Ryzen™ Embedded </w:t>
            </w:r>
            <w:r w:rsidRPr="00117E97">
              <w:rPr>
                <w:rFonts w:ascii="Arial" w:hAnsi="Arial" w:cs="Arial"/>
                <w:bCs/>
                <w:color w:val="262626"/>
                <w:sz w:val="18"/>
                <w:szCs w:val="18"/>
                <w:lang w:val="en-US"/>
              </w:rPr>
              <w:t>V2546</w:t>
            </w:r>
          </w:p>
        </w:tc>
        <w:tc>
          <w:tcPr>
            <w:tcW w:w="283" w:type="dxa"/>
            <w:vAlign w:val="center"/>
          </w:tcPr>
          <w:p w:rsidR="0008768B" w:rsidRPr="00117E97" w:rsidRDefault="0008768B" w:rsidP="00C6297B">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08768B" w:rsidRPr="00117E97" w:rsidRDefault="0008768B" w:rsidP="00C6297B">
            <w:pPr>
              <w:jc w:val="center"/>
              <w:rPr>
                <w:rFonts w:ascii="Arial" w:hAnsi="Arial" w:cs="Arial"/>
                <w:sz w:val="18"/>
                <w:szCs w:val="18"/>
                <w:lang w:val="en-US"/>
              </w:rPr>
            </w:pPr>
            <w:r w:rsidRPr="00117E97">
              <w:rPr>
                <w:rFonts w:ascii="Arial" w:hAnsi="Arial" w:cs="Arial"/>
                <w:bCs/>
                <w:color w:val="262626"/>
                <w:sz w:val="18"/>
                <w:szCs w:val="18"/>
                <w:lang w:val="en-US" w:eastAsia="de-DE"/>
              </w:rPr>
              <w:t>6 / 12</w:t>
            </w:r>
          </w:p>
        </w:tc>
        <w:tc>
          <w:tcPr>
            <w:tcW w:w="236" w:type="dxa"/>
            <w:vAlign w:val="center"/>
          </w:tcPr>
          <w:p w:rsidR="0008768B" w:rsidRPr="00117E97" w:rsidRDefault="0008768B" w:rsidP="00C6297B">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08768B" w:rsidRPr="00117E97" w:rsidRDefault="0008768B" w:rsidP="00C6297B">
            <w:pPr>
              <w:spacing w:line="360" w:lineRule="auto"/>
              <w:jc w:val="center"/>
              <w:rPr>
                <w:rFonts w:ascii="Arial" w:hAnsi="Arial" w:cs="Arial"/>
                <w:bCs/>
                <w:color w:val="262626"/>
                <w:sz w:val="18"/>
                <w:szCs w:val="18"/>
                <w:lang w:val="en-US" w:eastAsia="de-DE"/>
              </w:rPr>
            </w:pPr>
            <w:r w:rsidRPr="00117E97">
              <w:rPr>
                <w:rFonts w:ascii="Arial" w:hAnsi="Arial" w:cs="Arial"/>
                <w:bCs/>
                <w:color w:val="262626"/>
                <w:sz w:val="18"/>
                <w:szCs w:val="18"/>
                <w:lang w:val="en-US" w:eastAsia="de-DE"/>
              </w:rPr>
              <w:t>3.0 / 3.95</w:t>
            </w:r>
          </w:p>
        </w:tc>
        <w:tc>
          <w:tcPr>
            <w:tcW w:w="236" w:type="dxa"/>
          </w:tcPr>
          <w:p w:rsidR="0008768B" w:rsidRPr="00117E97" w:rsidRDefault="0008768B" w:rsidP="00C6297B">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08768B" w:rsidRPr="00117E97" w:rsidRDefault="0008768B" w:rsidP="00C6297B">
            <w:pPr>
              <w:spacing w:line="360" w:lineRule="auto"/>
              <w:jc w:val="center"/>
              <w:rPr>
                <w:rFonts w:ascii="Arial" w:hAnsi="Arial" w:cs="Arial"/>
                <w:bCs/>
                <w:color w:val="262626"/>
                <w:sz w:val="18"/>
                <w:szCs w:val="18"/>
                <w:lang w:val="en-US" w:eastAsia="de-DE"/>
              </w:rPr>
            </w:pPr>
            <w:r w:rsidRPr="00117E97">
              <w:rPr>
                <w:rFonts w:ascii="Arial" w:hAnsi="Arial" w:cs="Arial"/>
                <w:bCs/>
                <w:color w:val="262626"/>
                <w:sz w:val="18"/>
                <w:szCs w:val="18"/>
                <w:lang w:val="en-US" w:eastAsia="de-DE"/>
              </w:rPr>
              <w:t>3 / 6</w:t>
            </w:r>
          </w:p>
        </w:tc>
        <w:tc>
          <w:tcPr>
            <w:tcW w:w="236" w:type="dxa"/>
            <w:vAlign w:val="center"/>
          </w:tcPr>
          <w:p w:rsidR="0008768B" w:rsidRPr="00117E97" w:rsidRDefault="0008768B" w:rsidP="00C6297B">
            <w:pPr>
              <w:spacing w:line="276" w:lineRule="auto"/>
              <w:jc w:val="center"/>
              <w:rPr>
                <w:rFonts w:ascii="Arial" w:hAnsi="Arial" w:cs="Arial"/>
                <w:sz w:val="18"/>
                <w:szCs w:val="18"/>
                <w:lang w:val="en-US"/>
              </w:rPr>
            </w:pPr>
          </w:p>
        </w:tc>
        <w:tc>
          <w:tcPr>
            <w:tcW w:w="1088" w:type="dxa"/>
            <w:tcBorders>
              <w:top w:val="single" w:sz="8" w:space="0" w:color="auto"/>
              <w:bottom w:val="single" w:sz="8" w:space="0" w:color="auto"/>
            </w:tcBorders>
            <w:vAlign w:val="center"/>
          </w:tcPr>
          <w:p w:rsidR="0008768B" w:rsidRPr="00117E97" w:rsidRDefault="0008768B" w:rsidP="00C6297B">
            <w:pPr>
              <w:spacing w:line="276" w:lineRule="auto"/>
              <w:jc w:val="center"/>
              <w:rPr>
                <w:rFonts w:ascii="Arial" w:hAnsi="Arial" w:cs="Arial"/>
                <w:sz w:val="18"/>
                <w:szCs w:val="18"/>
                <w:lang w:val="en-US"/>
              </w:rPr>
            </w:pPr>
            <w:r w:rsidRPr="00117E97">
              <w:rPr>
                <w:rFonts w:ascii="Arial" w:hAnsi="Arial" w:cs="Arial"/>
                <w:sz w:val="18"/>
                <w:szCs w:val="18"/>
                <w:lang w:val="en-US"/>
              </w:rPr>
              <w:t>6</w:t>
            </w:r>
          </w:p>
        </w:tc>
        <w:tc>
          <w:tcPr>
            <w:tcW w:w="236" w:type="dxa"/>
            <w:vAlign w:val="center"/>
          </w:tcPr>
          <w:p w:rsidR="0008768B" w:rsidRPr="00117E97" w:rsidRDefault="0008768B" w:rsidP="00C6297B">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08768B" w:rsidRPr="00117E97" w:rsidRDefault="0008768B" w:rsidP="00C6297B">
            <w:pPr>
              <w:spacing w:line="276" w:lineRule="auto"/>
              <w:jc w:val="center"/>
              <w:rPr>
                <w:rFonts w:ascii="Arial" w:hAnsi="Arial" w:cs="Arial"/>
                <w:sz w:val="18"/>
                <w:szCs w:val="18"/>
                <w:lang w:val="en-US"/>
              </w:rPr>
            </w:pPr>
            <w:r w:rsidRPr="00117E97">
              <w:rPr>
                <w:rFonts w:ascii="Arial" w:hAnsi="Arial" w:cs="Arial"/>
                <w:sz w:val="18"/>
                <w:szCs w:val="18"/>
                <w:lang w:val="en-US"/>
              </w:rPr>
              <w:t>35 – 54</w:t>
            </w:r>
          </w:p>
        </w:tc>
      </w:tr>
      <w:tr w:rsidR="0008768B" w:rsidRPr="00117E97" w:rsidTr="0008768B">
        <w:tblPrEx>
          <w:tblLook w:val="04A0"/>
        </w:tblPrEx>
        <w:tc>
          <w:tcPr>
            <w:tcW w:w="1814" w:type="dxa"/>
            <w:tcBorders>
              <w:top w:val="single" w:sz="8" w:space="0" w:color="auto"/>
              <w:bottom w:val="single" w:sz="8" w:space="0" w:color="auto"/>
            </w:tcBorders>
            <w:vAlign w:val="center"/>
          </w:tcPr>
          <w:p w:rsidR="0008768B" w:rsidRPr="00117E97" w:rsidRDefault="0008768B" w:rsidP="00C6297B">
            <w:pPr>
              <w:spacing w:line="276" w:lineRule="auto"/>
              <w:rPr>
                <w:rFonts w:ascii="Arial" w:hAnsi="Arial" w:cs="Arial"/>
                <w:bCs/>
                <w:color w:val="262626"/>
                <w:sz w:val="18"/>
                <w:szCs w:val="18"/>
                <w:lang w:val="en-US" w:eastAsia="de-DE"/>
              </w:rPr>
            </w:pPr>
            <w:r w:rsidRPr="00117E97">
              <w:rPr>
                <w:rFonts w:ascii="Arial" w:hAnsi="Arial" w:cs="Arial"/>
                <w:bCs/>
                <w:color w:val="262626"/>
                <w:sz w:val="18"/>
                <w:szCs w:val="18"/>
                <w:lang w:val="en-US" w:eastAsia="de-DE"/>
              </w:rPr>
              <w:t xml:space="preserve">AMD Ryzen™ Embedded </w:t>
            </w:r>
            <w:r w:rsidRPr="00117E97">
              <w:rPr>
                <w:rFonts w:ascii="Arial" w:hAnsi="Arial" w:cs="Arial"/>
                <w:bCs/>
                <w:color w:val="262626"/>
                <w:sz w:val="18"/>
                <w:szCs w:val="18"/>
                <w:lang w:val="en-US"/>
              </w:rPr>
              <w:t>V2516</w:t>
            </w:r>
          </w:p>
        </w:tc>
        <w:tc>
          <w:tcPr>
            <w:tcW w:w="283" w:type="dxa"/>
            <w:vAlign w:val="center"/>
          </w:tcPr>
          <w:p w:rsidR="0008768B" w:rsidRPr="00117E97" w:rsidRDefault="0008768B" w:rsidP="00C6297B">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08768B" w:rsidRPr="00117E97" w:rsidRDefault="0008768B" w:rsidP="00C6297B">
            <w:pPr>
              <w:jc w:val="center"/>
              <w:rPr>
                <w:rFonts w:ascii="Arial" w:hAnsi="Arial" w:cs="Arial"/>
                <w:sz w:val="18"/>
                <w:szCs w:val="18"/>
                <w:lang w:val="en-US"/>
              </w:rPr>
            </w:pPr>
            <w:r w:rsidRPr="00117E97">
              <w:rPr>
                <w:rFonts w:ascii="Arial" w:hAnsi="Arial" w:cs="Arial"/>
                <w:bCs/>
                <w:color w:val="262626"/>
                <w:sz w:val="18"/>
                <w:szCs w:val="18"/>
                <w:lang w:val="en-US" w:eastAsia="de-DE"/>
              </w:rPr>
              <w:t>6 / 12</w:t>
            </w:r>
          </w:p>
        </w:tc>
        <w:tc>
          <w:tcPr>
            <w:tcW w:w="236" w:type="dxa"/>
            <w:vAlign w:val="center"/>
          </w:tcPr>
          <w:p w:rsidR="0008768B" w:rsidRPr="00117E97" w:rsidRDefault="0008768B" w:rsidP="00C6297B">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08768B" w:rsidRPr="00117E97" w:rsidRDefault="0008768B" w:rsidP="00C6297B">
            <w:pPr>
              <w:spacing w:line="360" w:lineRule="auto"/>
              <w:jc w:val="center"/>
              <w:rPr>
                <w:rFonts w:ascii="Arial" w:hAnsi="Arial" w:cs="Arial"/>
                <w:bCs/>
                <w:color w:val="262626"/>
                <w:sz w:val="18"/>
                <w:szCs w:val="18"/>
                <w:lang w:val="en-US" w:eastAsia="de-DE"/>
              </w:rPr>
            </w:pPr>
            <w:r w:rsidRPr="00117E97">
              <w:rPr>
                <w:rFonts w:ascii="Arial" w:hAnsi="Arial" w:cs="Arial"/>
                <w:bCs/>
                <w:color w:val="262626"/>
                <w:sz w:val="18"/>
                <w:szCs w:val="18"/>
                <w:lang w:val="en-US" w:eastAsia="de-DE"/>
              </w:rPr>
              <w:t>2.1 / 3.95</w:t>
            </w:r>
          </w:p>
        </w:tc>
        <w:tc>
          <w:tcPr>
            <w:tcW w:w="236" w:type="dxa"/>
          </w:tcPr>
          <w:p w:rsidR="0008768B" w:rsidRPr="00117E97" w:rsidRDefault="0008768B" w:rsidP="00C6297B">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08768B" w:rsidRPr="00117E97" w:rsidRDefault="0008768B" w:rsidP="00C6297B">
            <w:pPr>
              <w:spacing w:line="360" w:lineRule="auto"/>
              <w:jc w:val="center"/>
              <w:rPr>
                <w:rFonts w:ascii="Arial" w:hAnsi="Arial" w:cs="Arial"/>
                <w:bCs/>
                <w:color w:val="262626"/>
                <w:sz w:val="18"/>
                <w:szCs w:val="18"/>
                <w:lang w:val="en-US" w:eastAsia="de-DE"/>
              </w:rPr>
            </w:pPr>
            <w:r w:rsidRPr="00117E97">
              <w:rPr>
                <w:rFonts w:ascii="Arial" w:hAnsi="Arial" w:cs="Arial"/>
                <w:bCs/>
                <w:color w:val="262626"/>
                <w:sz w:val="18"/>
                <w:szCs w:val="18"/>
                <w:lang w:val="en-US" w:eastAsia="de-DE"/>
              </w:rPr>
              <w:t>3 / 6</w:t>
            </w:r>
          </w:p>
        </w:tc>
        <w:tc>
          <w:tcPr>
            <w:tcW w:w="236" w:type="dxa"/>
            <w:vAlign w:val="center"/>
          </w:tcPr>
          <w:p w:rsidR="0008768B" w:rsidRPr="00117E97" w:rsidRDefault="0008768B" w:rsidP="00C6297B">
            <w:pPr>
              <w:spacing w:line="276" w:lineRule="auto"/>
              <w:jc w:val="center"/>
              <w:rPr>
                <w:rFonts w:ascii="Arial" w:hAnsi="Arial" w:cs="Arial"/>
                <w:sz w:val="18"/>
                <w:szCs w:val="18"/>
                <w:lang w:val="en-US"/>
              </w:rPr>
            </w:pPr>
          </w:p>
        </w:tc>
        <w:tc>
          <w:tcPr>
            <w:tcW w:w="1088" w:type="dxa"/>
            <w:tcBorders>
              <w:top w:val="single" w:sz="8" w:space="0" w:color="auto"/>
              <w:bottom w:val="single" w:sz="8" w:space="0" w:color="auto"/>
            </w:tcBorders>
            <w:vAlign w:val="center"/>
          </w:tcPr>
          <w:p w:rsidR="0008768B" w:rsidRPr="00117E97" w:rsidRDefault="0008768B" w:rsidP="00C6297B">
            <w:pPr>
              <w:spacing w:line="276" w:lineRule="auto"/>
              <w:jc w:val="center"/>
              <w:rPr>
                <w:rFonts w:ascii="Arial" w:hAnsi="Arial" w:cs="Arial"/>
                <w:sz w:val="18"/>
                <w:szCs w:val="18"/>
                <w:lang w:val="en-US"/>
              </w:rPr>
            </w:pPr>
            <w:r w:rsidRPr="00117E97">
              <w:rPr>
                <w:rFonts w:ascii="Arial" w:hAnsi="Arial" w:cs="Arial"/>
                <w:sz w:val="18"/>
                <w:szCs w:val="18"/>
                <w:lang w:val="en-US"/>
              </w:rPr>
              <w:t>6</w:t>
            </w:r>
          </w:p>
        </w:tc>
        <w:tc>
          <w:tcPr>
            <w:tcW w:w="236" w:type="dxa"/>
            <w:vAlign w:val="center"/>
          </w:tcPr>
          <w:p w:rsidR="0008768B" w:rsidRPr="00117E97" w:rsidRDefault="0008768B" w:rsidP="00C6297B">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08768B" w:rsidRPr="00117E97" w:rsidRDefault="0008768B" w:rsidP="00C6297B">
            <w:pPr>
              <w:spacing w:line="276" w:lineRule="auto"/>
              <w:jc w:val="center"/>
              <w:rPr>
                <w:rFonts w:ascii="Arial" w:hAnsi="Arial" w:cs="Arial"/>
                <w:sz w:val="18"/>
                <w:szCs w:val="18"/>
                <w:lang w:val="en-US"/>
              </w:rPr>
            </w:pPr>
            <w:r w:rsidRPr="00117E97">
              <w:rPr>
                <w:rFonts w:ascii="Arial" w:hAnsi="Arial" w:cs="Arial"/>
                <w:sz w:val="18"/>
                <w:szCs w:val="18"/>
                <w:lang w:val="en-US"/>
              </w:rPr>
              <w:t>10 – 25</w:t>
            </w:r>
          </w:p>
        </w:tc>
      </w:tr>
    </w:tbl>
    <w:p w:rsidR="0008768B" w:rsidRPr="00117E97" w:rsidRDefault="0008768B" w:rsidP="0008768B">
      <w:pPr>
        <w:spacing w:line="360" w:lineRule="auto"/>
        <w:rPr>
          <w:rFonts w:ascii="Arial" w:hAnsi="Arial" w:cs="Arial"/>
          <w:sz w:val="22"/>
          <w:szCs w:val="22"/>
          <w:lang w:val="en-US"/>
        </w:rPr>
      </w:pPr>
    </w:p>
    <w:p w:rsidR="005C70A8" w:rsidRPr="00117E97" w:rsidRDefault="002E0CD2" w:rsidP="005C70A8">
      <w:pPr>
        <w:spacing w:line="360" w:lineRule="auto"/>
        <w:rPr>
          <w:rFonts w:ascii="Arial" w:eastAsia="Arial" w:hAnsi="Arial" w:cs="Arial"/>
          <w:sz w:val="22"/>
          <w:szCs w:val="22"/>
          <w:lang w:val="it-IT"/>
        </w:rPr>
      </w:pPr>
      <w:r>
        <w:rPr>
          <w:rFonts w:ascii="Arial" w:hAnsi="Arial" w:cs="Arial"/>
          <w:sz w:val="22"/>
          <w:szCs w:val="22"/>
          <w:lang w:val="it-IT"/>
        </w:rPr>
        <w:t>Questi</w:t>
      </w:r>
      <w:r w:rsidR="005C70A8" w:rsidRPr="00117E97">
        <w:rPr>
          <w:rFonts w:ascii="Arial" w:hAnsi="Arial" w:cs="Arial"/>
          <w:sz w:val="22"/>
          <w:szCs w:val="22"/>
          <w:lang w:val="it-IT"/>
        </w:rPr>
        <w:t xml:space="preserve"> moduli assicurano un sensibile incremento delle prestazioni di elaborazione (performance/W)</w:t>
      </w:r>
      <w:r w:rsidR="005C70A8" w:rsidRPr="00117E97">
        <w:rPr>
          <w:rFonts w:ascii="Arial" w:hAnsi="Arial" w:cs="Arial"/>
          <w:sz w:val="22"/>
          <w:szCs w:val="22"/>
          <w:vertAlign w:val="superscript"/>
          <w:lang w:val="it-IT"/>
        </w:rPr>
        <w:t>i</w:t>
      </w:r>
      <w:r w:rsidR="005C70A8" w:rsidRPr="00117E97">
        <w:rPr>
          <w:rFonts w:ascii="Arial" w:hAnsi="Arial" w:cs="Arial"/>
          <w:sz w:val="22"/>
          <w:szCs w:val="22"/>
          <w:lang w:val="it-IT"/>
        </w:rPr>
        <w:t xml:space="preserve"> e mettono a disposizione un numero di core doppio rispetto ai prodotti della generazione precedente</w:t>
      </w:r>
      <w:r w:rsidR="005C70A8" w:rsidRPr="00117E97">
        <w:rPr>
          <w:rFonts w:ascii="Arial" w:hAnsi="Arial" w:cs="Arial"/>
          <w:sz w:val="22"/>
          <w:szCs w:val="22"/>
          <w:vertAlign w:val="superscript"/>
          <w:lang w:val="it-IT"/>
        </w:rPr>
        <w:t>ii</w:t>
      </w:r>
      <w:r w:rsidR="005C70A8" w:rsidRPr="00117E97">
        <w:rPr>
          <w:rFonts w:ascii="Arial" w:hAnsi="Arial" w:cs="Arial"/>
          <w:sz w:val="22"/>
          <w:szCs w:val="22"/>
          <w:lang w:val="it-IT"/>
        </w:rPr>
        <w:t xml:space="preserve">. Grazie alla multi-elaborazione di tipo simmetrico, questi moduli garantiscono prestazioni particolarmente elevate nell'elaborazione parallela con un massimo di 16 thread. I moduli dispongono di 4MB di cache L2 e 8 MB di cache L3 e possono </w:t>
      </w:r>
      <w:r w:rsidR="005C70A8" w:rsidRPr="00117E97">
        <w:rPr>
          <w:rFonts w:ascii="Arial" w:eastAsia="Arial" w:hAnsi="Arial" w:cs="Arial"/>
          <w:sz w:val="22"/>
          <w:szCs w:val="22"/>
          <w:lang w:val="it-IT"/>
        </w:rPr>
        <w:t>supportare fino a 32 GB di memoria DDR4 a 64 bit a due canali veloce ed efficiente in termini energetici ed in grado di operare a una velocità di trasferimento dati massima di 3200 MT/s con ECC per garantire la massima protezione dei dati.</w:t>
      </w:r>
    </w:p>
    <w:p w:rsidR="005C70A8" w:rsidRPr="00117E97" w:rsidRDefault="005C70A8" w:rsidP="005C70A8">
      <w:pPr>
        <w:spacing w:line="360" w:lineRule="auto"/>
        <w:rPr>
          <w:rFonts w:ascii="Arial" w:hAnsi="Arial" w:cs="Arial"/>
          <w:lang w:val="it-IT"/>
        </w:rPr>
      </w:pPr>
      <w:r w:rsidRPr="00117E97">
        <w:rPr>
          <w:rFonts w:ascii="Arial" w:eastAsia="Arial" w:hAnsi="Arial" w:cs="Arial"/>
          <w:sz w:val="22"/>
          <w:szCs w:val="22"/>
          <w:lang w:val="it-IT"/>
        </w:rPr>
        <w:t xml:space="preserve">La GPU integrata </w:t>
      </w:r>
      <w:r w:rsidRPr="00117E97">
        <w:rPr>
          <w:rFonts w:ascii="Arial" w:hAnsi="Arial" w:cs="Arial"/>
          <w:sz w:val="22"/>
          <w:szCs w:val="22"/>
          <w:lang w:val="it-IT"/>
        </w:rPr>
        <w:t>AMD Radeon™ con un massimo di 7 CU (Compute Unit) garantisce un adeguato supporto in tutte quelle applicazioni e casi d'uso che richiedono elaborazioni grafiche ad alte prestazioni.</w:t>
      </w:r>
    </w:p>
    <w:p w:rsidR="005C70A8" w:rsidRPr="00117E97" w:rsidRDefault="005C70A8" w:rsidP="005C70A8">
      <w:pPr>
        <w:spacing w:line="360" w:lineRule="auto"/>
        <w:rPr>
          <w:rFonts w:ascii="Arial" w:hAnsi="Arial" w:cs="Arial"/>
          <w:lang w:val="it-IT"/>
        </w:rPr>
      </w:pPr>
    </w:p>
    <w:p w:rsidR="005C70A8" w:rsidRPr="00117E97" w:rsidRDefault="005C70A8" w:rsidP="005C70A8">
      <w:pPr>
        <w:spacing w:line="360" w:lineRule="auto"/>
        <w:rPr>
          <w:rFonts w:ascii="Arial" w:hAnsi="Arial" w:cs="Arial"/>
          <w:color w:val="000000"/>
          <w:sz w:val="22"/>
          <w:szCs w:val="22"/>
          <w:lang w:val="it-IT"/>
        </w:rPr>
      </w:pPr>
      <w:r w:rsidRPr="00117E97">
        <w:rPr>
          <w:rFonts w:ascii="Arial" w:hAnsi="Arial" w:cs="Arial"/>
          <w:sz w:val="22"/>
          <w:szCs w:val="22"/>
          <w:lang w:val="it-IT"/>
        </w:rPr>
        <w:t xml:space="preserve">Il modulo COM conga-TCV2 è in grado di gestire fino a quattro display indipendenti con risoluzione UHD (4k) a 60 Hz tramite 3 porte DisplayPort 1.4/HDMI 2.1 e una porta LVDS/eDP. </w:t>
      </w:r>
      <w:r w:rsidRPr="00117E97">
        <w:rPr>
          <w:rFonts w:ascii="Arial" w:hAnsi="Arial" w:cs="Arial"/>
          <w:color w:val="000000"/>
          <w:sz w:val="22"/>
          <w:szCs w:val="22"/>
          <w:lang w:val="it-IT"/>
        </w:rPr>
        <w:t>Tra le altre interfacce disponibili che consentono di incrementare le prestazioni si possono segnalare una porta PEG 3.0 x8 e 8 canali (lane) PCIe Gen3, 2 porte USB 3.1 Gen2, 8 USB 2.0, fino a 2 porte SATA Gen 3 e una porta Gigabit Ethernet. Otto GPIO, porte per SPI ed LPC, oltre a 2 UART legacy fornite attraverso il controllore della scheda completano la dotazione di interfacce.</w:t>
      </w:r>
    </w:p>
    <w:p w:rsidR="005C70A8" w:rsidRPr="00117E97" w:rsidRDefault="005C70A8" w:rsidP="005C70A8">
      <w:pPr>
        <w:spacing w:line="360" w:lineRule="auto"/>
        <w:rPr>
          <w:rFonts w:ascii="Arial" w:hAnsi="Arial" w:cs="Arial"/>
          <w:color w:val="000000"/>
          <w:lang w:val="it-IT"/>
        </w:rPr>
      </w:pPr>
      <w:r w:rsidRPr="00117E97">
        <w:rPr>
          <w:rFonts w:ascii="Arial" w:hAnsi="Arial" w:cs="Arial"/>
          <w:color w:val="000000"/>
          <w:sz w:val="22"/>
          <w:szCs w:val="22"/>
          <w:lang w:val="it-IT"/>
        </w:rPr>
        <w:t>I moduli supportano l'hypervisor RTS e i sistemi operativi Windows 10 di Microsoft, Linux/Yocto, Android Q e VxWorks di Wind River.</w:t>
      </w:r>
    </w:p>
    <w:p w:rsidR="005C70A8" w:rsidRPr="00117E97" w:rsidRDefault="005C70A8" w:rsidP="005C70A8">
      <w:pPr>
        <w:pStyle w:val="Textkrper"/>
        <w:rPr>
          <w:rFonts w:ascii="Arial" w:hAnsi="Arial" w:cs="Arial"/>
          <w:color w:val="000000"/>
          <w:lang w:val="it-IT"/>
        </w:rPr>
      </w:pPr>
    </w:p>
    <w:p w:rsidR="005C70A8" w:rsidRPr="00117E97" w:rsidRDefault="005C70A8" w:rsidP="005C70A8">
      <w:pPr>
        <w:spacing w:line="360" w:lineRule="auto"/>
        <w:rPr>
          <w:rFonts w:ascii="Arial" w:hAnsi="Arial" w:cs="Arial"/>
          <w:sz w:val="22"/>
          <w:szCs w:val="22"/>
          <w:lang w:val="it-IT"/>
        </w:rPr>
      </w:pPr>
      <w:r w:rsidRPr="00117E97">
        <w:rPr>
          <w:rFonts w:ascii="Arial" w:eastAsia="Arial" w:hAnsi="Arial" w:cs="Arial"/>
          <w:sz w:val="22"/>
          <w:szCs w:val="22"/>
          <w:lang w:val="it-IT"/>
        </w:rPr>
        <w:t>Nelle applicazioni critiche sotto il profilo della sicurezza (safety-critical) il processore sicuro di AMD integrato è in grado di eseguire la codifica e la decodifica accelerate via hardware di algoritmi RSA, SHA e AES. Infine,è anche previsto il supporto on-board del modulo TPM</w:t>
      </w:r>
      <w:bookmarkStart w:id="3" w:name="_Hlk55721376"/>
      <w:r w:rsidRPr="00117E97">
        <w:rPr>
          <w:rStyle w:val="Endnotenzeichen"/>
          <w:rFonts w:ascii="Arial" w:hAnsi="Arial" w:cs="Arial"/>
          <w:lang w:val="it-IT"/>
        </w:rPr>
        <w:endnoteReference w:id="6"/>
      </w:r>
      <w:r w:rsidRPr="00117E97">
        <w:rPr>
          <w:rFonts w:ascii="Arial" w:hAnsi="Arial" w:cs="Arial"/>
          <w:sz w:val="22"/>
          <w:szCs w:val="22"/>
          <w:lang w:val="it-IT"/>
        </w:rPr>
        <w:t>.</w:t>
      </w:r>
    </w:p>
    <w:bookmarkEnd w:id="3"/>
    <w:p w:rsidR="005C70A8" w:rsidRPr="00117E97" w:rsidRDefault="005C70A8" w:rsidP="005C70A8">
      <w:pPr>
        <w:spacing w:line="360" w:lineRule="auto"/>
        <w:rPr>
          <w:rFonts w:ascii="Arial" w:hAnsi="Arial" w:cs="Arial"/>
          <w:sz w:val="22"/>
          <w:szCs w:val="22"/>
          <w:lang w:val="it-IT"/>
        </w:rPr>
      </w:pPr>
    </w:p>
    <w:p w:rsidR="009D5DB9" w:rsidRPr="00117E97" w:rsidRDefault="005C70A8" w:rsidP="0092178B">
      <w:pPr>
        <w:spacing w:line="360" w:lineRule="auto"/>
        <w:rPr>
          <w:rFonts w:ascii="Arial" w:hAnsi="Arial" w:cs="Arial"/>
          <w:b/>
          <w:sz w:val="18"/>
          <w:szCs w:val="18"/>
          <w:lang w:val="it-IT"/>
        </w:rPr>
      </w:pPr>
      <w:r w:rsidRPr="00117E97">
        <w:rPr>
          <w:rFonts w:ascii="Arial" w:hAnsi="Arial" w:cs="Arial"/>
          <w:sz w:val="22"/>
          <w:szCs w:val="22"/>
          <w:lang w:val="it-IT"/>
        </w:rPr>
        <w:lastRenderedPageBreak/>
        <w:t xml:space="preserve">Maggiori informazioni sul nuovo modulo conga-TCV2 ad alte prestazioni in formato COM Express Compact con pinout Type 6 sono disponibili all'indirizzo: </w:t>
      </w:r>
      <w:hyperlink r:id="rId13" w:history="1">
        <w:r w:rsidR="002F7825" w:rsidRPr="005D0603">
          <w:rPr>
            <w:rStyle w:val="Hyperlink"/>
            <w:rFonts w:ascii="Arial" w:hAnsi="Arial" w:cs="Arial"/>
            <w:lang w:val="it-IT"/>
          </w:rPr>
          <w:t>https://www.congatec.com/it/prodotti/com-express-type-6/conga-tcv2/</w:t>
        </w:r>
      </w:hyperlink>
      <w:r w:rsidR="002F7825">
        <w:rPr>
          <w:rFonts w:ascii="Arial" w:hAnsi="Arial" w:cs="Arial"/>
          <w:lang w:val="it-IT"/>
        </w:rPr>
        <w:t xml:space="preserve"> </w:t>
      </w:r>
    </w:p>
    <w:p w:rsidR="00D108AC" w:rsidRDefault="00D108AC" w:rsidP="00D108AC">
      <w:pPr>
        <w:pStyle w:val="Standard1"/>
        <w:ind w:right="283"/>
        <w:rPr>
          <w:rFonts w:ascii="Arial" w:hAnsi="Arial" w:cs="Arial"/>
          <w:b/>
          <w:sz w:val="18"/>
          <w:szCs w:val="18"/>
          <w:lang w:val="it-IT"/>
        </w:rPr>
      </w:pPr>
    </w:p>
    <w:p w:rsidR="007505B3" w:rsidRPr="00117E97" w:rsidRDefault="007505B3" w:rsidP="00D108AC">
      <w:pPr>
        <w:pStyle w:val="Standard1"/>
        <w:ind w:right="283"/>
        <w:rPr>
          <w:rFonts w:ascii="Arial" w:hAnsi="Arial" w:cs="Arial"/>
          <w:b/>
          <w:sz w:val="18"/>
          <w:szCs w:val="18"/>
          <w:lang w:val="it-IT"/>
        </w:rPr>
      </w:pPr>
    </w:p>
    <w:p w:rsidR="00E8543B" w:rsidRPr="00117E97" w:rsidRDefault="00E8543B" w:rsidP="00E8543B">
      <w:pPr>
        <w:spacing w:line="100" w:lineRule="atLeast"/>
        <w:rPr>
          <w:rFonts w:ascii="Arial" w:eastAsia="Arial" w:hAnsi="Arial" w:cs="Arial"/>
          <w:sz w:val="16"/>
          <w:szCs w:val="16"/>
          <w:lang w:val="it-IT"/>
        </w:rPr>
      </w:pPr>
      <w:r w:rsidRPr="00117E97">
        <w:rPr>
          <w:rFonts w:ascii="Arial" w:eastAsia="Arial" w:hAnsi="Arial" w:cs="Arial"/>
          <w:b/>
          <w:bCs/>
          <w:color w:val="000000"/>
          <w:kern w:val="0"/>
          <w:sz w:val="16"/>
          <w:szCs w:val="16"/>
          <w:lang w:val="it-IT"/>
        </w:rPr>
        <w:t>Chi è congatec</w:t>
      </w:r>
      <w:r w:rsidRPr="00117E97">
        <w:rPr>
          <w:rFonts w:ascii="Arial" w:eastAsia="Arial" w:hAnsi="Arial" w:cs="Arial"/>
          <w:color w:val="000000"/>
          <w:kern w:val="0"/>
          <w:sz w:val="16"/>
          <w:szCs w:val="16"/>
          <w:lang w:val="it-IT"/>
        </w:rPr>
        <w:br/>
      </w:r>
      <w:r w:rsidRPr="00117E97">
        <w:rPr>
          <w:rFonts w:ascii="Arial" w:eastAsia="Arial" w:hAnsi="Arial" w:cs="Arial"/>
          <w:sz w:val="16"/>
          <w:szCs w:val="16"/>
          <w:lang w:val="it-IT"/>
        </w:rPr>
        <w:t xml:space="preserve">Fortemente orientata allo sviluppo tecnologico, congatec è un'azienda specializzata nella progettazione e realizzazione di soluzioni per i settori dell'elaborazione embedded ed dell'edge computing. I moduli di elaborazione a elevate prestazioni della società sono utilizzati in una vasta gamma di dispositivi e applicazioni destinati ai settori dell'automazione industriale, della tecnologia medicale, dei trasporti e delle telecomunicazioni, oltre che in numerosi altri mercati verticali. Supportata da DBAG Fund VIII, fondo tedesco specializzato nel sostegno di imprese di medie dimensioni che operano in settori industriali ad alto tasso di crescita, che opera in qualità di azionista di riferimento, congatec ha la solidità finanziaria e l'esperienza nelle operazioni di M&amp;A necessarie per sfruttare al meglio le opportunità che si prospettano in questi mercati in rapida espansione. </w:t>
      </w:r>
    </w:p>
    <w:p w:rsidR="00E8543B" w:rsidRPr="00117E97" w:rsidRDefault="00E8543B" w:rsidP="00E8543B">
      <w:pPr>
        <w:spacing w:line="100" w:lineRule="atLeast"/>
        <w:rPr>
          <w:rFonts w:ascii="Arial" w:hAnsi="Arial" w:cs="Arial"/>
          <w:sz w:val="16"/>
          <w:szCs w:val="16"/>
          <w:lang w:val="it-IT"/>
        </w:rPr>
      </w:pPr>
      <w:r w:rsidRPr="00117E97">
        <w:rPr>
          <w:rFonts w:ascii="Arial" w:eastAsia="Arial" w:hAnsi="Arial" w:cs="Arial"/>
          <w:sz w:val="16"/>
          <w:szCs w:val="16"/>
          <w:lang w:val="it-IT"/>
        </w:rPr>
        <w:t>congatec è l'azienda leader a livello globale nel comparto dei moduli COM (Computer-on-Module) è può vantare una base di clienti ampia e diversificata, che spazia dalle start-up alle più importanti realtà multinazionali. Fondata nel 2004, congatec ha il proprio quartier generale a Deggendorf, Germania e ha fatto registrare nel 2019 un fatturato pari a 126 milioni di dollari. U</w:t>
      </w:r>
      <w:r w:rsidRPr="00117E97">
        <w:rPr>
          <w:rFonts w:ascii="Arial" w:eastAsia="Arial" w:hAnsi="Arial" w:cs="Arial"/>
          <w:color w:val="000000"/>
          <w:kern w:val="0"/>
          <w:sz w:val="16"/>
          <w:szCs w:val="16"/>
          <w:lang w:val="it-IT"/>
        </w:rPr>
        <w:t xml:space="preserve">lteriori informazioni sono disponibili sul nostro sito web </w:t>
      </w:r>
      <w:hyperlink r:id="rId14" w:anchor="_blank" w:history="1">
        <w:r w:rsidRPr="00117E97">
          <w:rPr>
            <w:rStyle w:val="Hyperlink"/>
            <w:rFonts w:ascii="Arial" w:eastAsia="Arial" w:hAnsi="Arial" w:cs="Arial"/>
            <w:color w:val="0000CC"/>
            <w:kern w:val="0"/>
            <w:sz w:val="16"/>
            <w:szCs w:val="16"/>
            <w:lang w:val="it-IT"/>
          </w:rPr>
          <w:t>www.congatec.com</w:t>
        </w:r>
      </w:hyperlink>
      <w:r w:rsidRPr="00117E97">
        <w:rPr>
          <w:rFonts w:ascii="Arial" w:hAnsi="Arial" w:cs="Arial"/>
          <w:sz w:val="16"/>
          <w:szCs w:val="16"/>
          <w:lang w:val="it-IT"/>
        </w:rPr>
        <w:t xml:space="preserve"> oppure attraverso </w:t>
      </w:r>
      <w:hyperlink r:id="rId15" w:history="1">
        <w:r w:rsidRPr="00117E97">
          <w:rPr>
            <w:rStyle w:val="Hyperlink"/>
            <w:rFonts w:ascii="Arial" w:eastAsia="Arial" w:hAnsi="Arial" w:cs="Arial"/>
            <w:sz w:val="16"/>
            <w:szCs w:val="16"/>
            <w:lang w:val="it-IT"/>
          </w:rPr>
          <w:t>LinkedIn</w:t>
        </w:r>
      </w:hyperlink>
      <w:r w:rsidRPr="00117E97">
        <w:rPr>
          <w:rFonts w:ascii="Arial" w:hAnsi="Arial" w:cs="Arial"/>
          <w:sz w:val="16"/>
          <w:szCs w:val="16"/>
          <w:lang w:val="it-IT"/>
        </w:rPr>
        <w:t xml:space="preserve">, </w:t>
      </w:r>
      <w:hyperlink r:id="rId16" w:anchor="_blank" w:history="1">
        <w:r w:rsidRPr="00117E97">
          <w:rPr>
            <w:rStyle w:val="Hyperlink"/>
            <w:rFonts w:ascii="Arial" w:eastAsia="Arial" w:hAnsi="Arial" w:cs="Arial"/>
            <w:color w:val="0000CC"/>
            <w:kern w:val="0"/>
            <w:sz w:val="16"/>
            <w:szCs w:val="16"/>
            <w:lang w:val="it-IT"/>
          </w:rPr>
          <w:t>Twitter</w:t>
        </w:r>
      </w:hyperlink>
      <w:r w:rsidRPr="00117E97">
        <w:rPr>
          <w:rFonts w:ascii="Arial" w:hAnsi="Arial" w:cs="Arial"/>
          <w:sz w:val="16"/>
          <w:szCs w:val="16"/>
          <w:lang w:val="it-IT"/>
        </w:rPr>
        <w:t xml:space="preserve"> e </w:t>
      </w:r>
      <w:hyperlink r:id="rId17" w:anchor="_blank" w:history="1">
        <w:r w:rsidRPr="00117E97">
          <w:rPr>
            <w:rStyle w:val="Hyperlink"/>
            <w:rFonts w:ascii="Arial" w:eastAsia="Arial" w:hAnsi="Arial" w:cs="Arial"/>
            <w:color w:val="0000CC"/>
            <w:kern w:val="0"/>
            <w:sz w:val="16"/>
            <w:szCs w:val="16"/>
            <w:lang w:val="it-IT"/>
          </w:rPr>
          <w:t>YouTube</w:t>
        </w:r>
      </w:hyperlink>
      <w:r w:rsidRPr="00117E97">
        <w:rPr>
          <w:rFonts w:ascii="Arial" w:hAnsi="Arial" w:cs="Arial"/>
          <w:sz w:val="16"/>
          <w:szCs w:val="16"/>
          <w:lang w:val="it-IT"/>
        </w:rPr>
        <w:t>.</w:t>
      </w:r>
    </w:p>
    <w:p w:rsidR="00E8543B" w:rsidRPr="00117E97" w:rsidRDefault="00E8543B" w:rsidP="00E8543B">
      <w:pPr>
        <w:spacing w:line="100" w:lineRule="atLeast"/>
        <w:rPr>
          <w:rFonts w:ascii="Arial" w:hAnsi="Arial" w:cs="Arial"/>
          <w:sz w:val="16"/>
          <w:szCs w:val="16"/>
          <w:lang w:val="it-IT"/>
        </w:rPr>
      </w:pPr>
    </w:p>
    <w:p w:rsidR="00326537" w:rsidRPr="00117E97" w:rsidRDefault="004D6DD5" w:rsidP="00326537">
      <w:pPr>
        <w:pStyle w:val="Standard1"/>
        <w:spacing w:line="200" w:lineRule="atLeast"/>
        <w:jc w:val="center"/>
        <w:rPr>
          <w:rFonts w:ascii="Arial" w:hAnsi="Arial" w:cs="Arial"/>
          <w:i/>
          <w:iCs/>
          <w:sz w:val="16"/>
          <w:szCs w:val="16"/>
          <w:lang w:val="it-IT"/>
        </w:rPr>
      </w:pPr>
      <w:r w:rsidRPr="00117E97">
        <w:rPr>
          <w:rFonts w:ascii="Arial" w:hAnsi="Arial" w:cs="Arial"/>
          <w:sz w:val="16"/>
          <w:szCs w:val="16"/>
          <w:lang w:val="it-IT"/>
        </w:rPr>
        <w:t>*</w:t>
      </w:r>
      <w:r w:rsidR="00931997" w:rsidRPr="00117E97">
        <w:rPr>
          <w:rFonts w:ascii="Arial" w:hAnsi="Arial" w:cs="Arial"/>
          <w:sz w:val="16"/>
          <w:szCs w:val="16"/>
          <w:lang w:val="it-IT"/>
        </w:rPr>
        <w:t xml:space="preserve"> </w:t>
      </w:r>
      <w:r w:rsidRPr="00117E97">
        <w:rPr>
          <w:rFonts w:ascii="Arial" w:hAnsi="Arial" w:cs="Arial"/>
          <w:sz w:val="16"/>
          <w:szCs w:val="16"/>
          <w:lang w:val="it-IT"/>
        </w:rPr>
        <w:t>*</w:t>
      </w:r>
      <w:r w:rsidR="00931997" w:rsidRPr="00117E97">
        <w:rPr>
          <w:rFonts w:ascii="Arial" w:hAnsi="Arial" w:cs="Arial"/>
          <w:sz w:val="16"/>
          <w:szCs w:val="16"/>
          <w:lang w:val="it-IT"/>
        </w:rPr>
        <w:t xml:space="preserve"> </w:t>
      </w:r>
      <w:r w:rsidRPr="00117E97">
        <w:rPr>
          <w:rFonts w:ascii="Arial" w:hAnsi="Arial" w:cs="Arial"/>
          <w:sz w:val="16"/>
          <w:szCs w:val="16"/>
          <w:lang w:val="it-IT"/>
        </w:rPr>
        <w:t>*</w:t>
      </w:r>
      <w:r w:rsidR="00931997" w:rsidRPr="00117E97">
        <w:rPr>
          <w:rFonts w:ascii="Arial" w:hAnsi="Arial" w:cs="Arial"/>
          <w:i/>
          <w:iCs/>
          <w:sz w:val="16"/>
          <w:szCs w:val="16"/>
          <w:lang w:val="it-IT"/>
        </w:rPr>
        <w:t xml:space="preserve"> </w:t>
      </w:r>
    </w:p>
    <w:p w:rsidR="00326537" w:rsidRPr="00117E97" w:rsidRDefault="00326537" w:rsidP="00326537">
      <w:pPr>
        <w:pStyle w:val="Standard1"/>
        <w:spacing w:line="200" w:lineRule="atLeast"/>
        <w:jc w:val="center"/>
        <w:rPr>
          <w:rFonts w:ascii="Arial" w:hAnsi="Arial" w:cs="Arial"/>
          <w:i/>
          <w:iCs/>
          <w:sz w:val="16"/>
          <w:szCs w:val="16"/>
          <w:lang w:val="it-IT"/>
        </w:rPr>
      </w:pPr>
    </w:p>
    <w:p w:rsidR="00326537" w:rsidRPr="00117E97" w:rsidRDefault="00326537" w:rsidP="00326537">
      <w:pPr>
        <w:pStyle w:val="Standard1"/>
        <w:spacing w:line="200" w:lineRule="atLeast"/>
        <w:jc w:val="center"/>
        <w:rPr>
          <w:rFonts w:ascii="Arial" w:hAnsi="Arial" w:cs="Arial"/>
          <w:i/>
          <w:iCs/>
          <w:sz w:val="16"/>
          <w:szCs w:val="16"/>
          <w:lang w:val="it-IT"/>
        </w:rPr>
      </w:pPr>
    </w:p>
    <w:p w:rsidR="00D108AC" w:rsidRPr="00117E97" w:rsidRDefault="00D108AC" w:rsidP="005350F1">
      <w:pPr>
        <w:pStyle w:val="Standard1"/>
        <w:ind w:right="283"/>
        <w:rPr>
          <w:rFonts w:ascii="Arial" w:hAnsi="Arial" w:cs="Arial"/>
          <w:i/>
          <w:iCs/>
          <w:kern w:val="2"/>
          <w:sz w:val="16"/>
          <w:szCs w:val="16"/>
          <w:lang w:val="it-IT"/>
        </w:rPr>
      </w:pPr>
    </w:p>
    <w:sectPr w:rsidR="00D108AC" w:rsidRPr="00117E97" w:rsidSect="00D15B2E">
      <w:pgSz w:w="11906" w:h="16838"/>
      <w:pgMar w:top="1418" w:right="170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206" w:rsidRDefault="00C94206" w:rsidP="005C70A8">
      <w:r>
        <w:separator/>
      </w:r>
    </w:p>
  </w:endnote>
  <w:endnote w:type="continuationSeparator" w:id="0">
    <w:p w:rsidR="00C94206" w:rsidRDefault="00C94206" w:rsidP="005C70A8">
      <w:r>
        <w:continuationSeparator/>
      </w:r>
    </w:p>
  </w:endnote>
  <w:endnote w:id="1">
    <w:p w:rsidR="005C70A8" w:rsidRDefault="005C70A8" w:rsidP="005C70A8">
      <w:r>
        <w:rPr>
          <w:rStyle w:val="Caratterenotadichiusura"/>
        </w:rPr>
        <w:endnoteRef/>
      </w:r>
      <w:r w:rsidRPr="0069126A">
        <w:rPr>
          <w:rStyle w:val="Endnotenzeichen1"/>
          <w:rFonts w:ascii="Arial" w:hAnsi="Arial" w:cs="Arial"/>
          <w:sz w:val="18"/>
          <w:szCs w:val="18"/>
          <w:lang w:val="en-US"/>
        </w:rPr>
        <w:tab/>
      </w:r>
      <w:r w:rsidRPr="00330C99">
        <w:rPr>
          <w:rFonts w:ascii="Arial" w:hAnsi="Arial" w:cs="Arial"/>
          <w:sz w:val="18"/>
          <w:szCs w:val="18"/>
          <w:lang w:val="en-US"/>
        </w:rPr>
        <w:t xml:space="preserve"> Testing conducted by AMD Performance Labs as of July 2020 on the Ryzen™ Embedded V2718 and June 2018 on the Ryzen Embedded V1605B processor both at 15 watts (STAPM mode enabled) using Cinebench R15 nt. </w:t>
      </w:r>
      <w:r>
        <w:rPr>
          <w:rFonts w:ascii="Arial" w:hAnsi="Arial" w:cs="Arial"/>
          <w:sz w:val="18"/>
          <w:szCs w:val="18"/>
          <w:lang w:val="it-IT"/>
        </w:rPr>
        <w:t>Results may vary. EMB-170</w:t>
      </w:r>
    </w:p>
  </w:endnote>
  <w:endnote w:id="2">
    <w:p w:rsidR="005C70A8" w:rsidRDefault="005C70A8" w:rsidP="005C70A8">
      <w:r>
        <w:rPr>
          <w:rStyle w:val="Caratterenotadichiusura"/>
        </w:rPr>
        <w:endnoteRef/>
      </w:r>
    </w:p>
    <w:p w:rsidR="005C70A8" w:rsidRDefault="005C70A8" w:rsidP="005C70A8">
      <w:pPr>
        <w:pStyle w:val="Endnotentext1"/>
        <w:pageBreakBefore/>
      </w:pPr>
      <w:r>
        <w:rPr>
          <w:rStyle w:val="Endnotenzeichen1"/>
          <w:rFonts w:ascii="Arial" w:hAnsi="Arial" w:cs="Arial"/>
          <w:sz w:val="18"/>
          <w:szCs w:val="18"/>
          <w:lang w:val="it-IT"/>
        </w:rPr>
        <w:tab/>
      </w:r>
      <w:r w:rsidRPr="00330C99">
        <w:rPr>
          <w:rFonts w:ascii="Arial" w:hAnsi="Arial" w:cs="Arial"/>
          <w:sz w:val="18"/>
          <w:szCs w:val="18"/>
          <w:lang w:val="en-US"/>
        </w:rPr>
        <w:t xml:space="preserve"> Ryzen™ Embedded V2000 SoCs offer up to eight CPU cores. Ryzen™ Embedded V1000 SoCs offer up to four CPU cores. </w:t>
      </w:r>
      <w:r>
        <w:rPr>
          <w:rFonts w:ascii="Arial" w:hAnsi="Arial" w:cs="Arial"/>
          <w:sz w:val="18"/>
          <w:szCs w:val="18"/>
          <w:lang w:val="it-IT"/>
        </w:rPr>
        <w:t>EMB-168</w:t>
      </w:r>
    </w:p>
  </w:endnote>
  <w:endnote w:id="3">
    <w:p w:rsidR="005C70A8" w:rsidRDefault="005C70A8" w:rsidP="005C70A8">
      <w:r>
        <w:rPr>
          <w:rStyle w:val="Caratterenotadichiusura"/>
        </w:rPr>
        <w:endnoteRef/>
      </w:r>
    </w:p>
    <w:p w:rsidR="005C70A8" w:rsidRPr="00330C99" w:rsidRDefault="005C70A8" w:rsidP="005C70A8">
      <w:pPr>
        <w:pStyle w:val="Endnotentext1"/>
        <w:pageBreakBefore/>
        <w:rPr>
          <w:lang w:val="en-US"/>
        </w:rPr>
      </w:pPr>
      <w:r>
        <w:rPr>
          <w:rStyle w:val="Endnotenzeichen1"/>
          <w:rFonts w:ascii="Arial" w:hAnsi="Arial" w:cs="Arial"/>
          <w:sz w:val="18"/>
          <w:szCs w:val="18"/>
          <w:lang w:val="it-IT"/>
        </w:rPr>
        <w:tab/>
      </w:r>
      <w:r w:rsidRPr="00330C99">
        <w:rPr>
          <w:rFonts w:ascii="Arial" w:hAnsi="Arial" w:cs="Arial"/>
          <w:sz w:val="18"/>
          <w:szCs w:val="18"/>
          <w:lang w:val="en-US"/>
        </w:rPr>
        <w:t xml:space="preserve"> The predecessor AMD Ryzen™ Embedded V1000 is available on the far larger COM Express Basic footprint.</w:t>
      </w:r>
    </w:p>
  </w:endnote>
  <w:endnote w:id="4">
    <w:p w:rsidR="005C70A8" w:rsidRDefault="005C70A8" w:rsidP="005C70A8">
      <w:r>
        <w:rPr>
          <w:rStyle w:val="Caratterenotadichiusura"/>
        </w:rPr>
        <w:endnoteRef/>
      </w:r>
    </w:p>
    <w:p w:rsidR="005C70A8" w:rsidRDefault="005C70A8" w:rsidP="005C70A8">
      <w:pPr>
        <w:pStyle w:val="Endnotentext1"/>
        <w:pageBreakBefore/>
      </w:pPr>
      <w:r>
        <w:rPr>
          <w:rStyle w:val="Endnotenzeichen1"/>
          <w:rFonts w:ascii="Arial" w:hAnsi="Arial" w:cs="Arial"/>
          <w:sz w:val="18"/>
          <w:szCs w:val="18"/>
          <w:lang w:val="it-IT"/>
        </w:rPr>
        <w:tab/>
      </w:r>
      <w:r w:rsidRPr="00330C99">
        <w:rPr>
          <w:rFonts w:ascii="Arial" w:hAnsi="Arial" w:cs="Arial"/>
          <w:sz w:val="18"/>
          <w:szCs w:val="18"/>
          <w:lang w:val="en-US"/>
        </w:rPr>
        <w:t xml:space="preserve"> AMD “Zen 2” CPU-based system scored an estimated 15% higher than previous generation AMD “Zen” based system using estimated SPECint®_base2006 results. SPEC® and SPECint® are registered trademarks of the Standard Performance Evaluation Corporation. </w:t>
      </w:r>
      <w:r>
        <w:rPr>
          <w:rFonts w:ascii="Arial" w:hAnsi="Arial" w:cs="Arial"/>
          <w:sz w:val="18"/>
          <w:szCs w:val="18"/>
          <w:lang w:val="it-IT"/>
        </w:rPr>
        <w:t>See www.spec.org. GD-141</w:t>
      </w:r>
    </w:p>
  </w:endnote>
  <w:endnote w:id="5">
    <w:p w:rsidR="005C70A8" w:rsidRDefault="005C70A8" w:rsidP="005C70A8">
      <w:r>
        <w:rPr>
          <w:rStyle w:val="Caratterenotadichiusura"/>
        </w:rPr>
        <w:endnoteRef/>
      </w:r>
    </w:p>
    <w:p w:rsidR="005C70A8" w:rsidRDefault="005C70A8" w:rsidP="005C70A8">
      <w:pPr>
        <w:pStyle w:val="Endnotentext1"/>
        <w:pageBreakBefore/>
      </w:pPr>
      <w:r>
        <w:rPr>
          <w:rStyle w:val="Endnotenzeichen1"/>
          <w:rFonts w:ascii="Arial" w:hAnsi="Arial" w:cs="Arial"/>
          <w:sz w:val="18"/>
          <w:szCs w:val="18"/>
          <w:lang w:val="it-IT"/>
        </w:rPr>
        <w:tab/>
      </w:r>
      <w:r w:rsidRPr="00330C99">
        <w:rPr>
          <w:rFonts w:ascii="Arial" w:hAnsi="Arial" w:cs="Arial"/>
          <w:sz w:val="18"/>
          <w:szCs w:val="18"/>
          <w:lang w:val="en-US"/>
        </w:rPr>
        <w:t xml:space="preserve"> Max boost for AMD Ryzen and Athlon processors is the maximum frequency achievable by a single core on the processor running a bursty single-threaded workload. Max boost will vary based on several factors, including, but not limited to: thermal paste; system cooling; motherboard design and BIOS; the latest AMD chipset driver; and the latest OS updates. </w:t>
      </w:r>
      <w:r>
        <w:rPr>
          <w:rFonts w:ascii="Arial" w:hAnsi="Arial" w:cs="Arial"/>
          <w:sz w:val="18"/>
          <w:szCs w:val="18"/>
          <w:lang w:val="it-IT"/>
        </w:rPr>
        <w:t>GD-150</w:t>
      </w:r>
    </w:p>
  </w:endnote>
  <w:endnote w:id="6">
    <w:p w:rsidR="005C70A8" w:rsidRDefault="005C70A8" w:rsidP="005C70A8">
      <w:r>
        <w:rPr>
          <w:rStyle w:val="Caratterenotadichiusura"/>
        </w:rPr>
        <w:endnoteRef/>
      </w:r>
    </w:p>
    <w:p w:rsidR="005C70A8" w:rsidRDefault="005C70A8" w:rsidP="005C70A8">
      <w:pPr>
        <w:pStyle w:val="Endnotentext1"/>
        <w:pageBreakBefore/>
      </w:pPr>
      <w:r>
        <w:rPr>
          <w:rStyle w:val="Endnotenzeichen1"/>
          <w:rFonts w:ascii="Arial" w:hAnsi="Arial" w:cs="Arial"/>
          <w:sz w:val="18"/>
          <w:szCs w:val="18"/>
          <w:lang w:val="it-IT"/>
        </w:rPr>
        <w:tab/>
      </w:r>
      <w:r w:rsidRPr="00330C99">
        <w:rPr>
          <w:rFonts w:ascii="Arial" w:hAnsi="Arial" w:cs="Arial"/>
          <w:sz w:val="18"/>
          <w:szCs w:val="18"/>
          <w:lang w:val="en-US"/>
        </w:rPr>
        <w:t xml:space="preserve"> Video codec acceleration (including at least the HEVC (H.265), H.264, VP9, and AV1 codecs) is subject to and not operable without inclusion/installation of compatible media players.  </w:t>
      </w:r>
      <w:r>
        <w:rPr>
          <w:rFonts w:ascii="Arial" w:hAnsi="Arial" w:cs="Arial"/>
          <w:sz w:val="18"/>
          <w:szCs w:val="18"/>
          <w:lang w:val="it-IT"/>
        </w:rPr>
        <w:t>GD-176</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206" w:rsidRDefault="00C94206" w:rsidP="005C70A8">
      <w:r>
        <w:separator/>
      </w:r>
    </w:p>
  </w:footnote>
  <w:footnote w:type="continuationSeparator" w:id="0">
    <w:p w:rsidR="00C94206" w:rsidRDefault="00C94206" w:rsidP="005C70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rsids>
    <w:rsidRoot w:val="00D108AC"/>
    <w:rsid w:val="000436FF"/>
    <w:rsid w:val="00064CB6"/>
    <w:rsid w:val="0006672C"/>
    <w:rsid w:val="00082044"/>
    <w:rsid w:val="000869F6"/>
    <w:rsid w:val="00086BA5"/>
    <w:rsid w:val="0008768B"/>
    <w:rsid w:val="000E736A"/>
    <w:rsid w:val="0010462C"/>
    <w:rsid w:val="00105D9C"/>
    <w:rsid w:val="00110B2A"/>
    <w:rsid w:val="00117E97"/>
    <w:rsid w:val="00143DF4"/>
    <w:rsid w:val="00152065"/>
    <w:rsid w:val="00157343"/>
    <w:rsid w:val="0017084E"/>
    <w:rsid w:val="001812C7"/>
    <w:rsid w:val="001B21DE"/>
    <w:rsid w:val="001C4194"/>
    <w:rsid w:val="002018D7"/>
    <w:rsid w:val="00212286"/>
    <w:rsid w:val="002172C9"/>
    <w:rsid w:val="0026687A"/>
    <w:rsid w:val="002719EA"/>
    <w:rsid w:val="002773AC"/>
    <w:rsid w:val="002C323D"/>
    <w:rsid w:val="002C338A"/>
    <w:rsid w:val="002C3F68"/>
    <w:rsid w:val="002D625D"/>
    <w:rsid w:val="002E0CD2"/>
    <w:rsid w:val="002E36C4"/>
    <w:rsid w:val="002E4D5C"/>
    <w:rsid w:val="002F13DF"/>
    <w:rsid w:val="002F7825"/>
    <w:rsid w:val="003231DC"/>
    <w:rsid w:val="00326537"/>
    <w:rsid w:val="00330C99"/>
    <w:rsid w:val="00341F3D"/>
    <w:rsid w:val="00347DCD"/>
    <w:rsid w:val="00353A9A"/>
    <w:rsid w:val="00360715"/>
    <w:rsid w:val="003710B5"/>
    <w:rsid w:val="00371E89"/>
    <w:rsid w:val="003910AD"/>
    <w:rsid w:val="0039428B"/>
    <w:rsid w:val="003C5916"/>
    <w:rsid w:val="0041314D"/>
    <w:rsid w:val="004446A6"/>
    <w:rsid w:val="004476BC"/>
    <w:rsid w:val="00463673"/>
    <w:rsid w:val="004657C4"/>
    <w:rsid w:val="00481B7A"/>
    <w:rsid w:val="004D2177"/>
    <w:rsid w:val="004D6DD5"/>
    <w:rsid w:val="004F123A"/>
    <w:rsid w:val="005126CD"/>
    <w:rsid w:val="005350F1"/>
    <w:rsid w:val="00556EFF"/>
    <w:rsid w:val="005926FD"/>
    <w:rsid w:val="005A2449"/>
    <w:rsid w:val="005B1C06"/>
    <w:rsid w:val="005C6F13"/>
    <w:rsid w:val="005C70A8"/>
    <w:rsid w:val="00610055"/>
    <w:rsid w:val="00643032"/>
    <w:rsid w:val="0064468B"/>
    <w:rsid w:val="00655B81"/>
    <w:rsid w:val="0069126A"/>
    <w:rsid w:val="0069359A"/>
    <w:rsid w:val="006E5682"/>
    <w:rsid w:val="006F0746"/>
    <w:rsid w:val="006F40DB"/>
    <w:rsid w:val="00700E83"/>
    <w:rsid w:val="0072577C"/>
    <w:rsid w:val="00735068"/>
    <w:rsid w:val="0073699E"/>
    <w:rsid w:val="007505B3"/>
    <w:rsid w:val="007571DD"/>
    <w:rsid w:val="0075733D"/>
    <w:rsid w:val="00770157"/>
    <w:rsid w:val="007B70C8"/>
    <w:rsid w:val="007F032A"/>
    <w:rsid w:val="007F10E7"/>
    <w:rsid w:val="007F44AF"/>
    <w:rsid w:val="007F5A4D"/>
    <w:rsid w:val="0080698D"/>
    <w:rsid w:val="008134AD"/>
    <w:rsid w:val="0082355E"/>
    <w:rsid w:val="00834C17"/>
    <w:rsid w:val="00844C3F"/>
    <w:rsid w:val="00846A09"/>
    <w:rsid w:val="00854442"/>
    <w:rsid w:val="00881B43"/>
    <w:rsid w:val="008C7861"/>
    <w:rsid w:val="008D011F"/>
    <w:rsid w:val="008F4100"/>
    <w:rsid w:val="00915B34"/>
    <w:rsid w:val="0092178B"/>
    <w:rsid w:val="0092236E"/>
    <w:rsid w:val="00923448"/>
    <w:rsid w:val="00931997"/>
    <w:rsid w:val="0094253C"/>
    <w:rsid w:val="00945CB7"/>
    <w:rsid w:val="0096007A"/>
    <w:rsid w:val="0098707E"/>
    <w:rsid w:val="009977CF"/>
    <w:rsid w:val="009B3123"/>
    <w:rsid w:val="009C37BD"/>
    <w:rsid w:val="009C65B6"/>
    <w:rsid w:val="009C67E6"/>
    <w:rsid w:val="009C6B1F"/>
    <w:rsid w:val="009D5DB9"/>
    <w:rsid w:val="009D7C14"/>
    <w:rsid w:val="009F47CE"/>
    <w:rsid w:val="00A3191E"/>
    <w:rsid w:val="00A31EE8"/>
    <w:rsid w:val="00A363E4"/>
    <w:rsid w:val="00AD02ED"/>
    <w:rsid w:val="00B06107"/>
    <w:rsid w:val="00B37B7A"/>
    <w:rsid w:val="00B86632"/>
    <w:rsid w:val="00BA41EA"/>
    <w:rsid w:val="00BB0080"/>
    <w:rsid w:val="00BD06A3"/>
    <w:rsid w:val="00BD1DEC"/>
    <w:rsid w:val="00C27B44"/>
    <w:rsid w:val="00C35297"/>
    <w:rsid w:val="00C42896"/>
    <w:rsid w:val="00C94206"/>
    <w:rsid w:val="00CC0079"/>
    <w:rsid w:val="00CF4B80"/>
    <w:rsid w:val="00D108AC"/>
    <w:rsid w:val="00D15B2E"/>
    <w:rsid w:val="00D30797"/>
    <w:rsid w:val="00D37AD5"/>
    <w:rsid w:val="00D57E09"/>
    <w:rsid w:val="00D643DB"/>
    <w:rsid w:val="00D97692"/>
    <w:rsid w:val="00DB096C"/>
    <w:rsid w:val="00DC1DA2"/>
    <w:rsid w:val="00E032F5"/>
    <w:rsid w:val="00E12412"/>
    <w:rsid w:val="00E25A99"/>
    <w:rsid w:val="00E26981"/>
    <w:rsid w:val="00E40B37"/>
    <w:rsid w:val="00E529F9"/>
    <w:rsid w:val="00E8543B"/>
    <w:rsid w:val="00EB436A"/>
    <w:rsid w:val="00EC3E0D"/>
    <w:rsid w:val="00EC47A8"/>
    <w:rsid w:val="00EE3A0E"/>
    <w:rsid w:val="00EF53C5"/>
    <w:rsid w:val="00F06CA0"/>
    <w:rsid w:val="00F1301F"/>
    <w:rsid w:val="00F453DD"/>
    <w:rsid w:val="00F45407"/>
    <w:rsid w:val="00F62C3B"/>
    <w:rsid w:val="00F82856"/>
    <w:rsid w:val="00FA2562"/>
    <w:rsid w:val="00FA3174"/>
    <w:rsid w:val="00FB3400"/>
    <w:rsid w:val="00FD5A36"/>
    <w:rsid w:val="00FF73B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b/>
      <w:bCs/>
    </w:rPr>
  </w:style>
  <w:style w:type="character" w:customStyle="1" w:styleId="WW-Absatz-Standardschriftart111">
    <w:name w:val="WW-Absatz-Standardschriftart111"/>
    <w:rsid w:val="00E40B37"/>
  </w:style>
  <w:style w:type="character" w:styleId="BesuchterHyperlink">
    <w:name w:val="FollowedHyperlink"/>
    <w:basedOn w:val="Absatz-Standardschriftart"/>
    <w:uiPriority w:val="99"/>
    <w:semiHidden/>
    <w:unhideWhenUsed/>
    <w:rsid w:val="00BD06A3"/>
    <w:rPr>
      <w:color w:val="800080" w:themeColor="followedHyperlink"/>
      <w:u w:val="single"/>
    </w:rPr>
  </w:style>
  <w:style w:type="character" w:customStyle="1" w:styleId="Endnotenzeichen1">
    <w:name w:val="Endnotenzeichen1"/>
    <w:basedOn w:val="Absatz-Standardschriftart"/>
    <w:rsid w:val="005C70A8"/>
    <w:rPr>
      <w:vertAlign w:val="superscript"/>
    </w:rPr>
  </w:style>
  <w:style w:type="character" w:customStyle="1" w:styleId="Caratterenotadichiusura">
    <w:name w:val="Carattere nota di chiusura"/>
    <w:rsid w:val="005C70A8"/>
  </w:style>
  <w:style w:type="character" w:styleId="Endnotenzeichen">
    <w:name w:val="endnote reference"/>
    <w:rsid w:val="005C70A8"/>
    <w:rPr>
      <w:vertAlign w:val="superscript"/>
    </w:rPr>
  </w:style>
  <w:style w:type="paragraph" w:styleId="Textkrper">
    <w:name w:val="Body Text"/>
    <w:basedOn w:val="Standard"/>
    <w:link w:val="TextkrperZchn"/>
    <w:rsid w:val="005C70A8"/>
    <w:pPr>
      <w:spacing w:after="120"/>
    </w:pPr>
  </w:style>
  <w:style w:type="character" w:customStyle="1" w:styleId="TextkrperZchn">
    <w:name w:val="Textkörper Zchn"/>
    <w:basedOn w:val="Absatz-Standardschriftart"/>
    <w:link w:val="Textkrper"/>
    <w:rsid w:val="005C70A8"/>
    <w:rPr>
      <w:rFonts w:ascii="Times New Roman" w:eastAsia="Times New Roman" w:hAnsi="Times New Roman" w:cs="Times New Roman"/>
      <w:kern w:val="1"/>
      <w:sz w:val="24"/>
      <w:szCs w:val="24"/>
      <w:lang w:eastAsia="ar-SA"/>
    </w:rPr>
  </w:style>
  <w:style w:type="paragraph" w:customStyle="1" w:styleId="Endnotentext1">
    <w:name w:val="Endnotentext1"/>
    <w:basedOn w:val="Standard"/>
    <w:rsid w:val="005C70A8"/>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gatec.it" TargetMode="External"/><Relationship Id="rId13" Type="http://schemas.openxmlformats.org/officeDocument/2006/relationships/hyperlink" Target="https://www.congatec.com/it/prodotti/com-express-type-6/conga-tcv2/"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congatec.com" TargetMode="External"/><Relationship Id="rId12" Type="http://schemas.openxmlformats.org/officeDocument/2006/relationships/hyperlink" Target="https://www.congatec.com/it/congatec/comunicato-stampa.html" TargetMode="External"/><Relationship Id="rId17" Type="http://schemas.openxmlformats.org/officeDocument/2006/relationships/hyperlink" Target="http://www.youtube.com/congatecAE" TargetMode="External"/><Relationship Id="rId2" Type="http://schemas.openxmlformats.org/officeDocument/2006/relationships/settings" Target="settings.xml"/><Relationship Id="rId16" Type="http://schemas.openxmlformats.org/officeDocument/2006/relationships/hyperlink" Target="https://mobile.twitter.com/congatecAG"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hyperlink" Target="https://www.linkedin.com/company/455449" TargetMode="External"/><Relationship Id="rId10" Type="http://schemas.openxmlformats.org/officeDocument/2006/relationships/hyperlink" Target="http://www.sams-network.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info@prismapr.com" TargetMode="External"/><Relationship Id="rId14" Type="http://schemas.openxmlformats.org/officeDocument/2006/relationships/hyperlink" Target="http://www.congatec.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1214</Words>
  <Characters>7653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2</cp:revision>
  <dcterms:created xsi:type="dcterms:W3CDTF">2020-11-24T14:03:00Z</dcterms:created>
  <dcterms:modified xsi:type="dcterms:W3CDTF">2020-11-24T14:03:00Z</dcterms:modified>
</cp:coreProperties>
</file>