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4E55F1" w:rsidRPr="004E55F1" w:rsidTr="009705A4">
        <w:trPr>
          <w:trHeight w:val="270"/>
        </w:trPr>
        <w:tc>
          <w:tcPr>
            <w:tcW w:w="2552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4E55F1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4E55F1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Press contact:</w:t>
            </w:r>
          </w:p>
        </w:tc>
      </w:tr>
      <w:tr w:rsidR="004E55F1" w:rsidRPr="004E55F1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4E55F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congatec(Korea)</w:t>
            </w:r>
          </w:p>
        </w:tc>
        <w:tc>
          <w:tcPr>
            <w:tcW w:w="2551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4E55F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4E55F1" w:rsidRPr="004E55F1" w:rsidTr="009705A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</w:rPr>
              <w:t>Ys Kim(</w:t>
            </w:r>
            <w:r w:rsidRPr="004E55F1">
              <w:rPr>
                <w:rFonts w:ascii="Malgun Gothic" w:eastAsia="Malgun Gothic" w:hAnsi="Malgun Gothic" w:cs="Malgun Gothic" w:hint="eastAsia"/>
                <w:color w:val="000000" w:themeColor="text1"/>
                <w:sz w:val="18"/>
                <w:szCs w:val="18"/>
                <w:lang w:val="en-US"/>
              </w:rPr>
              <w:t>김윤선</w:t>
            </w: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E55F1">
              <w:rPr>
                <w:rFonts w:ascii="Malgun Gothic" w:eastAsia="Malgun Gothic" w:hAnsi="Malgun Gothic" w:cs="Malgun Gothic" w:hint="eastAsia"/>
                <w:color w:val="000000" w:themeColor="text1"/>
                <w:sz w:val="18"/>
                <w:szCs w:val="18"/>
                <w:lang w:val="en-US"/>
              </w:rPr>
              <w:t>드림</w:t>
            </w: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4E55F1" w:rsidRPr="004E55F1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+82 (10) 2715-6418</w:t>
            </w:r>
          </w:p>
        </w:tc>
        <w:tc>
          <w:tcPr>
            <w:tcW w:w="2551" w:type="dxa"/>
            <w:shd w:val="clear" w:color="auto" w:fill="auto"/>
          </w:tcPr>
          <w:p w:rsidR="004E55F1" w:rsidRPr="004E55F1" w:rsidRDefault="004E55F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+49 2405-4526720</w:t>
            </w:r>
          </w:p>
        </w:tc>
      </w:tr>
      <w:tr w:rsidR="004E55F1" w:rsidRPr="004E55F1" w:rsidTr="009705A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4E55F1" w:rsidRPr="004E55F1" w:rsidRDefault="00633BE5" w:rsidP="009705A4">
            <w:pPr>
              <w:snapToGrid w:val="0"/>
              <w:spacing w:before="20" w:after="20"/>
              <w:rPr>
                <w:rFonts w:ascii="Calibri" w:hAnsi="Calibri" w:cs="Arial"/>
                <w:color w:val="000000" w:themeColor="text1"/>
                <w:sz w:val="18"/>
                <w:szCs w:val="18"/>
                <w:lang w:eastAsia="zh-TW"/>
              </w:rPr>
            </w:pPr>
            <w:hyperlink r:id="rId11" w:history="1">
              <w:r w:rsidR="004E55F1" w:rsidRPr="004E55F1">
                <w:rPr>
                  <w:rStyle w:val="Hyperlink"/>
                  <w:rFonts w:ascii="Calibri" w:eastAsiaTheme="majorEastAsia" w:hAnsi="Calibri" w:cs="Arial"/>
                  <w:color w:val="000000" w:themeColor="text1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4E55F1" w:rsidRPr="004E55F1" w:rsidRDefault="00633BE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2" w:history="1">
              <w:r w:rsidR="004E55F1" w:rsidRPr="004E55F1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4E55F1" w:rsidRPr="004E55F1" w:rsidRDefault="00633BE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4E55F1" w:rsidRPr="004E55F1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info@sams-network.com</w:t>
              </w:r>
            </w:hyperlink>
            <w:r w:rsidR="004E55F1" w:rsidRPr="004E55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E55F1" w:rsidRPr="004E55F1" w:rsidRDefault="00633BE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4E55F1" w:rsidRPr="004E55F1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www.sams-network.com</w:t>
              </w:r>
            </w:hyperlink>
            <w:r w:rsidR="004E55F1" w:rsidRPr="004E55F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085E50" w:rsidRPr="004E55F1" w:rsidRDefault="00D108AC" w:rsidP="00B16D6D">
      <w:pPr>
        <w:spacing w:after="120"/>
        <w:rPr>
          <w:rFonts w:ascii="Arial" w:eastAsia="Arial" w:hAnsi="Arial" w:cs="Arial"/>
          <w:b/>
          <w:color w:val="000000" w:themeColor="text1"/>
          <w:sz w:val="20"/>
          <w:u w:val="single"/>
        </w:rPr>
      </w:pPr>
      <w:r w:rsidRPr="004E55F1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4817745</wp:posOffset>
            </wp:positionH>
            <wp:positionV relativeFrom="paragraph">
              <wp:posOffset>-1008380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25F" w:rsidRPr="004E55F1" w:rsidRDefault="00633BE5" w:rsidP="00085E50">
      <w:pPr>
        <w:spacing w:after="120"/>
        <w:rPr>
          <w:rFonts w:ascii="Arial" w:hAnsi="Arial" w:cs="Arial"/>
          <w:i/>
          <w:noProof/>
          <w:color w:val="000000" w:themeColor="text1"/>
          <w:sz w:val="16"/>
          <w:szCs w:val="16"/>
          <w:lang w:eastAsia="de-DE"/>
        </w:rPr>
      </w:pPr>
      <w:r w:rsidRPr="00633BE5">
        <w:rPr>
          <w:rFonts w:ascii="Arial" w:hAnsi="Arial" w:cs="Arial"/>
          <w:i/>
          <w:noProof/>
          <w:color w:val="000000" w:themeColor="text1"/>
          <w:sz w:val="16"/>
          <w:szCs w:val="16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80.5pt">
            <v:imagedata r:id="rId16" o:title="congatec-Tiger-Lake-ext-temp"/>
          </v:shape>
        </w:pict>
      </w:r>
    </w:p>
    <w:p w:rsidR="00D108AC" w:rsidRPr="004E55F1" w:rsidRDefault="00263845" w:rsidP="00085E50">
      <w:pPr>
        <w:spacing w:after="120"/>
        <w:rPr>
          <w:rFonts w:ascii="Arial" w:hAnsi="Arial" w:cs="Arial"/>
          <w:color w:val="000000" w:themeColor="text1"/>
          <w:kern w:val="2"/>
          <w:sz w:val="22"/>
          <w:szCs w:val="22"/>
          <w:lang w:val="en-US"/>
        </w:rPr>
      </w:pPr>
      <w:r w:rsidRPr="004E55F1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4E55F1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7" w:history="1">
        <w:r w:rsidR="004E55F1" w:rsidRPr="004E55F1">
          <w:rPr>
            <w:rStyle w:val="Hyperlink"/>
            <w:rFonts w:ascii="Arial" w:hAnsi="Arial" w:cs="Arial"/>
            <w:i/>
            <w:iCs/>
            <w:color w:val="000000" w:themeColor="text1"/>
            <w:sz w:val="16"/>
            <w:szCs w:val="16"/>
            <w:lang w:val="en-US"/>
          </w:rPr>
          <w:t>https://www.congatec.com/ko/congatec/press-releases.html</w:t>
        </w:r>
      </w:hyperlink>
      <w:r w:rsidR="00D36280" w:rsidRPr="004E55F1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D108AC" w:rsidRPr="004E55F1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4E55F1" w:rsidRDefault="00263845" w:rsidP="00D108AC">
      <w:pPr>
        <w:pStyle w:val="Pressemitteilung"/>
        <w:rPr>
          <w:rFonts w:cs="Arial"/>
          <w:color w:val="000000" w:themeColor="text1"/>
          <w:szCs w:val="24"/>
          <w:lang w:val="en-US"/>
        </w:rPr>
      </w:pPr>
      <w:r w:rsidRPr="004E55F1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4E55F1">
        <w:rPr>
          <w:rFonts w:cs="Arial"/>
          <w:color w:val="000000" w:themeColor="text1"/>
          <w:szCs w:val="24"/>
          <w:lang w:val="en-US"/>
        </w:rPr>
        <w:t>r</w:t>
      </w:r>
      <w:r w:rsidRPr="004E55F1">
        <w:rPr>
          <w:rFonts w:cs="Arial"/>
          <w:color w:val="000000" w:themeColor="text1"/>
          <w:szCs w:val="24"/>
          <w:lang w:val="en-US"/>
        </w:rPr>
        <w:t>elease</w:t>
      </w:r>
    </w:p>
    <w:p w:rsidR="004E55F1" w:rsidRPr="004E55F1" w:rsidRDefault="004E55F1" w:rsidP="004E55F1">
      <w:pPr>
        <w:tabs>
          <w:tab w:val="left" w:pos="709"/>
        </w:tabs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>11</w:t>
      </w:r>
      <w:r w:rsidRPr="004E55F1">
        <w:rPr>
          <w:rFonts w:ascii="Malgun Gothic" w:eastAsia="Malgun Gothic" w:hAnsi="Malgun Gothic" w:hint="eastAsia"/>
          <w:color w:val="000000" w:themeColor="text1"/>
        </w:rPr>
        <w:t>세대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Intel </w:t>
      </w:r>
      <w:r w:rsidRPr="004E55F1">
        <w:rPr>
          <w:rFonts w:ascii="Malgun Gothic" w:eastAsia="Malgun Gothic" w:hAnsi="Malgun Gothic" w:hint="eastAsia"/>
          <w:color w:val="000000" w:themeColor="text1"/>
        </w:rPr>
        <w:t>코어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프로세서를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탑재한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>congatec(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</w:rPr>
        <w:t>콩가텍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) </w:t>
      </w:r>
      <w:r w:rsidRPr="004E55F1">
        <w:rPr>
          <w:rFonts w:ascii="Malgun Gothic" w:eastAsia="Malgun Gothic" w:hAnsi="Malgun Gothic" w:hint="eastAsia"/>
          <w:color w:val="000000" w:themeColor="text1"/>
        </w:rPr>
        <w:t>모듈</w:t>
      </w:r>
    </w:p>
    <w:p w:rsidR="004E55F1" w:rsidRPr="004E55F1" w:rsidRDefault="004E55F1" w:rsidP="004E55F1">
      <w:pPr>
        <w:tabs>
          <w:tab w:val="left" w:pos="709"/>
        </w:tabs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</w:rPr>
        <w:t>야외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차량용</w:t>
      </w:r>
      <w:r w:rsidRPr="004E55F1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</w:rPr>
        <w:t>애플리케이션용</w:t>
      </w:r>
    </w:p>
    <w:p w:rsidR="004E55F1" w:rsidRPr="004E55F1" w:rsidRDefault="004E55F1" w:rsidP="004E55F1">
      <w:pPr>
        <w:spacing w:line="0" w:lineRule="atLeast"/>
        <w:jc w:val="center"/>
        <w:rPr>
          <w:rFonts w:ascii="Malgun Gothic" w:eastAsia="Malgun Gothic" w:hAnsi="Malgun Gothic" w:cs="Arial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4E55F1" w:rsidRPr="004E55F1" w:rsidRDefault="004E55F1" w:rsidP="004E55F1">
      <w:pPr>
        <w:spacing w:line="0" w:lineRule="atLeast"/>
        <w:jc w:val="center"/>
        <w:rPr>
          <w:rFonts w:ascii="Malgun Gothic" w:eastAsia="Malgun Gothic" w:hAnsi="Malgun Gothic" w:cs="Arial"/>
          <w:b/>
          <w:bCs/>
          <w:color w:val="000000" w:themeColor="text1"/>
          <w:sz w:val="36"/>
          <w:szCs w:val="36"/>
          <w:highlight w:val="yellow"/>
          <w:lang w:val="en-US"/>
        </w:rPr>
      </w:pP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극한의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온도를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견디는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최신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bCs/>
          <w:color w:val="000000" w:themeColor="text1"/>
          <w:sz w:val="36"/>
          <w:szCs w:val="36"/>
        </w:rPr>
        <w:t>제품</w:t>
      </w:r>
    </w:p>
    <w:p w:rsidR="008F29F8" w:rsidRPr="004E55F1" w:rsidRDefault="008F29F8" w:rsidP="00F54AB1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E55F1" w:rsidRPr="004E55F1" w:rsidRDefault="004A381F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Seoul, Korea</w:t>
      </w: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</w:t>
      </w:r>
      <w:r w:rsidR="00263845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6B0CAA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03</w:t>
      </w:r>
      <w:r w:rsidR="00664FCE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6B0CAA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December </w:t>
      </w:r>
      <w:r w:rsidR="00013B1B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2020</w:t>
      </w:r>
      <w:r w:rsidR="00D108AC" w:rsidRPr="006B0CA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* * *</w:t>
      </w:r>
      <w:r w:rsidR="00D108AC" w:rsidRPr="006B0CA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기술의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6B0CAA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선두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공급업체인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확대를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위해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탑재한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여섯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가지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Computer-on-Modules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소개합니다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 -40 ~ +85°C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까지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극한의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견딜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있도록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고품질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요소로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제작한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Type 6 Computer-on-Modules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가장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까다로운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환경에서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안정적인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작동에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필요한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서비스를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="004E55F1"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밸류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패키지에는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패시브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냉각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옵션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습기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응결로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방지용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보호막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(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사항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회로도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안정적인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요소의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목록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놀라운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세트는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스크리닝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고속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준수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테스팅과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간단하게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만드는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디자인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(design-in)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교육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세션이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보완됩니다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등급의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일반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사례는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종류의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야외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차량용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설치에서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있으며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, congatec(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광범위한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AI(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인공지능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점차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많이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활용하고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일반적인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부문으로는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자동화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철도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운송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lastRenderedPageBreak/>
        <w:t>에너지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석유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부문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업무에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필수적인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스마트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인프라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모바일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앰뷸런스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장비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보안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비디오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감시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저출력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고밀집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타이거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레이크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SoC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넓은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환경을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훨씬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뛰어난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거의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높은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GPU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[1],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최첨단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Gen4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까다로운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, 8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스레드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96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유닛의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이점을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누릴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있으므로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울트라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형태에서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대량의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처리량을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실현합니다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그래픽은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CNN(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convolutional</w:t>
      </w:r>
      <w:proofErr w:type="spellEnd"/>
      <w:r w:rsidRPr="004E55F1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>Neural Networks)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병렬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처리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유닛이나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딥러닝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가속기로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proofErr w:type="spellStart"/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OpenCV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OpenCL™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커널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산업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라이브러리가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OpenVINO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소프트웨어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툴킷을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사용하면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CPU, GPU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FPGA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유닛으로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확장하여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오디오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음성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언어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AI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가속화할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TDP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12W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28W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가능하여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패시브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냉각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기능만</w:t>
      </w:r>
      <w:r w:rsidRPr="004E55F1">
        <w:rPr>
          <w:rFonts w:ascii="Malgun Gothic" w:eastAsia="Malgun Gothic" w:hAnsi="Malgun Gothic"/>
          <w:color w:val="000000" w:themeColor="text1"/>
          <w:sz w:val="22"/>
          <w:szCs w:val="22"/>
        </w:rPr>
        <w:t>으로</w:t>
      </w:r>
      <w:r w:rsidRPr="004E55F1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궁극의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4k UHD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울트라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HPC/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cTLU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conga-TC570 COM Express Type 6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놀라운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수행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있도록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제작되었으며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시나리오에서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머신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배포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워크로드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"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절대적인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핵심입니다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그래서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까다로운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환경에서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제품군은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각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종합적인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에코시스템으로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보완됩니다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여기에는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최적화가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TSN(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Time Sensitive Networking), TCC(Time Coordinated Computing)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RTS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원격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PCIe Gen 4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고속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규격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준수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서비스가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이러한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점들이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현재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겪는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애로사항이며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날로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복잡해지고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."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관리자인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Andreas 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Bergbauer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설명합니다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Pr="004E55F1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</w:p>
    <w:p w:rsidR="007F5ACB" w:rsidRPr="004E55F1" w:rsidRDefault="007F5ACB" w:rsidP="004E55F1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기능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세트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상세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정보</w:t>
      </w: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conga-HPC/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cTLU</w:t>
      </w:r>
      <w:proofErr w:type="spellEnd"/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Client Size A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conga-TC570 COM Express Compact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-40 ~ +85°C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극한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Pr="004E55F1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지원하여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대규모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대역폭으로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장치를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최초의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제품입니다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설계자는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 3.0x1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레인을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4.0, 2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3.2 Gen 2, 8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2.0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COM Express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PICMG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사양을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준수하는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3.2 Gen 2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8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USB 2.0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네트워크용으로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lastRenderedPageBreak/>
        <w:t>2.5GbE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반면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GbE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실행하며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TSN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버전에서는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I2S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SoundWire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COM Express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모듈에서는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HDA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사운드가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Real-Time Systems, Linux, Windows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Android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하이퍼바이저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비롯한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RTOS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포괄적인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패키지가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제공됩니다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proofErr w:type="gramEnd"/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Compact Type 6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다음과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같은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옵션에서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사용할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F66EEC" w:rsidRPr="004E55F1" w:rsidRDefault="00F66EEC" w:rsidP="00F66EEC">
      <w:pPr>
        <w:spacing w:line="360" w:lineRule="auto"/>
        <w:rPr>
          <w:rStyle w:val="Kommentarzeichen1"/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7931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</w:tblGrid>
      <w:tr w:rsidR="004E55F1" w:rsidRPr="004E55F1" w:rsidTr="00F66EEC">
        <w:trPr>
          <w:trHeight w:val="680"/>
        </w:trPr>
        <w:tc>
          <w:tcPr>
            <w:tcW w:w="250" w:type="dxa"/>
            <w:vAlign w:val="center"/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proofErr w:type="spellStart"/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Cores/</w:t>
            </w:r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Frequency at 28/15/12W TDP, (Max Turbo) [GHz]</w:t>
            </w:r>
          </w:p>
        </w:tc>
        <w:tc>
          <w:tcPr>
            <w:tcW w:w="236" w:type="dxa"/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proofErr w:type="spellStart"/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Graphics</w:t>
            </w:r>
            <w:proofErr w:type="spellEnd"/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Execution </w:t>
            </w:r>
            <w:proofErr w:type="spellStart"/>
            <w:r w:rsidRPr="004E55F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Units</w:t>
            </w:r>
            <w:proofErr w:type="spellEnd"/>
          </w:p>
        </w:tc>
        <w:tc>
          <w:tcPr>
            <w:tcW w:w="236" w:type="dxa"/>
          </w:tcPr>
          <w:p w:rsidR="00F66EEC" w:rsidRPr="004E55F1" w:rsidRDefault="00F66EEC" w:rsidP="00F66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</w:tr>
      <w:tr w:rsidR="004E55F1" w:rsidRPr="004E55F1" w:rsidTr="00F66EEC">
        <w:trPr>
          <w:trHeight w:val="340"/>
        </w:trPr>
        <w:tc>
          <w:tcPr>
            <w:tcW w:w="250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™ </w:t>
            </w: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E55F1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E55F1" w:rsidRPr="004E55F1" w:rsidTr="00F66EEC">
        <w:trPr>
          <w:trHeight w:val="340"/>
        </w:trPr>
        <w:tc>
          <w:tcPr>
            <w:tcW w:w="250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i5-1145GRE</w:t>
            </w:r>
          </w:p>
        </w:tc>
        <w:tc>
          <w:tcPr>
            <w:tcW w:w="283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</w:tr>
      <w:tr w:rsidR="00F66EEC" w:rsidRPr="004E55F1" w:rsidTr="00F66EEC">
        <w:trPr>
          <w:trHeight w:val="340"/>
        </w:trPr>
        <w:tc>
          <w:tcPr>
            <w:tcW w:w="250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i3-1115GRE</w:t>
            </w:r>
          </w:p>
        </w:tc>
        <w:tc>
          <w:tcPr>
            <w:tcW w:w="283" w:type="dxa"/>
            <w:vAlign w:val="center"/>
          </w:tcPr>
          <w:p w:rsidR="00F66EEC" w:rsidRPr="004E55F1" w:rsidRDefault="00F66EEC" w:rsidP="00F66EE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E55F1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F66EEC" w:rsidRPr="004E55F1" w:rsidRDefault="00F66EEC" w:rsidP="00F66EEC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</w:tr>
    </w:tbl>
    <w:p w:rsidR="007F5ACB" w:rsidRPr="004E55F1" w:rsidRDefault="007F5ACB" w:rsidP="007F5AC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F5ACB" w:rsidRPr="006B0CAA" w:rsidRDefault="004E55F1" w:rsidP="007F5AC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conga-HPC/</w:t>
      </w:r>
      <w:proofErr w:type="spellStart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cTLU</w:t>
      </w:r>
      <w:proofErr w:type="spell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클라이언트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모듈에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자세한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정보는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다음에서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hyperlink r:id="rId18" w:history="1">
        <w:r w:rsidRPr="006B0CAA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www.congatec.com/ko/products/com-hpc/conga-hpcctlu/</w:t>
        </w:r>
      </w:hyperlink>
    </w:p>
    <w:p w:rsidR="007F5ACB" w:rsidRPr="006B0CAA" w:rsidRDefault="007F5ACB" w:rsidP="007F5ACB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E55F1" w:rsidRPr="006B0CAA" w:rsidRDefault="004E55F1" w:rsidP="004E55F1">
      <w:pPr>
        <w:spacing w:line="0" w:lineRule="atLeast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conga-TC570</w:t>
      </w:r>
      <w:proofErr w:type="gramEnd"/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Compact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모듈의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랜딩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페이지는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다음과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같습니다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7F5ACB" w:rsidRPr="006B0CAA" w:rsidRDefault="00633BE5" w:rsidP="007F5ACB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fldChar w:fldCharType="begin"/>
      </w:r>
      <w:r w:rsidRPr="00FC307B">
        <w:rPr>
          <w:lang w:val="en-US"/>
        </w:rPr>
        <w:instrText>HYPERLINK "http://www.congatec.com/ko/products/com-express-type-6/conga-tc570/"</w:instrText>
      </w:r>
      <w:r>
        <w:fldChar w:fldCharType="separate"/>
      </w:r>
      <w:r w:rsidR="004E55F1" w:rsidRPr="006B0CAA">
        <w:rPr>
          <w:rStyle w:val="Hyperlink"/>
          <w:rFonts w:ascii="Arial" w:hAnsi="Arial" w:cs="Arial"/>
          <w:sz w:val="22"/>
          <w:szCs w:val="22"/>
          <w:lang w:val="en-US"/>
        </w:rPr>
        <w:t>www.congatec.com/ko/products/com-express-type-6/conga-tc570/</w:t>
      </w:r>
      <w:r>
        <w:fldChar w:fldCharType="end"/>
      </w:r>
    </w:p>
    <w:p w:rsidR="007F5ACB" w:rsidRPr="006B0CAA" w:rsidRDefault="007F5ACB" w:rsidP="007F5ACB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E55F1" w:rsidRPr="004E55F1" w:rsidRDefault="004E55F1" w:rsidP="00F66EEC">
      <w:pPr>
        <w:spacing w:line="360" w:lineRule="auto"/>
        <w:rPr>
          <w:rStyle w:val="Hyperlink"/>
          <w:rFonts w:ascii="Malgun Gothic" w:eastAsia="Malgun Gothic" w:hAnsi="Malgun Gothic"/>
          <w:color w:val="000000" w:themeColor="text1"/>
          <w:sz w:val="22"/>
          <w:szCs w:val="22"/>
          <w:u w:val="none"/>
        </w:rPr>
      </w:pPr>
      <w:proofErr w:type="gramStart"/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proofErr w:type="gramEnd"/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타이거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레이크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UP3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출시에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대한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자세한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정보는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메인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랜딩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페이지에서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보실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E55F1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있습니다</w:t>
      </w:r>
      <w:r w:rsidRPr="006B0CAA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  <w:r w:rsidRPr="006B0CAA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hyperlink r:id="rId19" w:history="1">
        <w:r w:rsidR="002009DD" w:rsidRPr="003B60BB">
          <w:rPr>
            <w:rStyle w:val="Hyperlink"/>
            <w:rFonts w:ascii="Arial" w:hAnsi="Arial" w:cs="Arial"/>
            <w:sz w:val="22"/>
            <w:szCs w:val="22"/>
          </w:rPr>
          <w:t>https://congatec.com/11th-gen-intel-core/</w:t>
        </w:r>
      </w:hyperlink>
    </w:p>
    <w:p w:rsidR="004E55F1" w:rsidRPr="004E55F1" w:rsidRDefault="004E55F1" w:rsidP="00F66EEC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4E55F1"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Style w:val="Hyperlink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D108AC" w:rsidRPr="004E55F1" w:rsidRDefault="00D108AC" w:rsidP="00D108AC">
      <w:pPr>
        <w:pStyle w:val="Standard1"/>
        <w:ind w:right="283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4E55F1" w:rsidRPr="004E55F1" w:rsidRDefault="004E55F1" w:rsidP="004E55F1">
      <w:pPr>
        <w:rPr>
          <w:rFonts w:ascii="Arial" w:eastAsia="Arial" w:hAnsi="Arial" w:cs="Arial"/>
          <w:b/>
          <w:color w:val="000000" w:themeColor="text1"/>
          <w:sz w:val="16"/>
          <w:szCs w:val="16"/>
        </w:rPr>
      </w:pPr>
      <w:proofErr w:type="spellStart"/>
      <w:r w:rsidRPr="004E55F1">
        <w:rPr>
          <w:rFonts w:ascii="Arial" w:eastAsia="Arial" w:hAnsi="Arial" w:cs="Arial"/>
          <w:b/>
          <w:color w:val="000000" w:themeColor="text1"/>
          <w:sz w:val="16"/>
          <w:szCs w:val="16"/>
        </w:rPr>
        <w:t>About</w:t>
      </w:r>
      <w:proofErr w:type="spellEnd"/>
      <w:r w:rsidRPr="004E55F1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 congatec </w:t>
      </w:r>
    </w:p>
    <w:p w:rsidR="004E55F1" w:rsidRPr="004E55F1" w:rsidRDefault="004E55F1" w:rsidP="004E55F1">
      <w:pPr>
        <w:pStyle w:val="Standard1"/>
        <w:ind w:right="283"/>
        <w:rPr>
          <w:rFonts w:ascii="Calibri" w:hAnsi="Calibri" w:cs="Calibri"/>
          <w:color w:val="000000" w:themeColor="text1"/>
          <w:sz w:val="16"/>
          <w:szCs w:val="16"/>
        </w:rPr>
      </w:pP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콩가텍은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임베디드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컴퓨팅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제품에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집중하는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굉장히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빠르게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성장하는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기술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집중형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업체입니다.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  <w:lang w:eastAsia="ko-KR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고성능 컴퓨터 모듈은 산업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자동화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>,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의료기술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>,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전송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>,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통신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및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다양한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  <w:lang w:eastAsia="ko-KR"/>
        </w:rPr>
        <w:t xml:space="preserve">  2004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 xml:space="preserve">년에 설립되어 독일 </w:t>
      </w:r>
      <w:r w:rsidRPr="004E55F1">
        <w:rPr>
          <w:rFonts w:ascii="Calibri" w:hAnsi="Calibri" w:cs="Calibri"/>
          <w:color w:val="000000" w:themeColor="text1"/>
          <w:sz w:val="16"/>
          <w:szCs w:val="16"/>
        </w:rPr>
        <w:t>Deggendorf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에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본사가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있고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</w:rPr>
        <w:t>2019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년에는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매출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1.26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억불을 달성했습니다.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  <w:lang w:eastAsia="ko-KR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 xml:space="preserve">추가적인 정보는 </w:t>
      </w:r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hyperlink r:id="rId20" w:history="1">
        <w:r w:rsidRPr="004E55F1">
          <w:rPr>
            <w:rStyle w:val="Hyperlink"/>
            <w:rFonts w:ascii="Calibri" w:hAnsi="Calibri" w:cs="Calibri"/>
            <w:color w:val="000000" w:themeColor="text1"/>
            <w:sz w:val="16"/>
            <w:szCs w:val="16"/>
          </w:rPr>
          <w:t>www.congatec.com</w:t>
        </w:r>
      </w:hyperlink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나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hyperlink r:id="rId21" w:history="1">
        <w:r w:rsidRPr="004E55F1">
          <w:rPr>
            <w:rStyle w:val="Hyperlink"/>
            <w:rFonts w:ascii="Calibri" w:hAnsi="Calibri" w:cs="Calibri"/>
            <w:color w:val="000000" w:themeColor="text1"/>
            <w:sz w:val="16"/>
            <w:szCs w:val="16"/>
          </w:rPr>
          <w:t>LinkedIn</w:t>
        </w:r>
      </w:hyperlink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, </w:t>
      </w:r>
      <w:hyperlink r:id="rId22" w:history="1">
        <w:r w:rsidRPr="004E55F1">
          <w:rPr>
            <w:rStyle w:val="Hyperlink"/>
            <w:rFonts w:ascii="Calibri" w:hAnsi="Calibri" w:cs="Calibri"/>
            <w:color w:val="000000" w:themeColor="text1"/>
            <w:sz w:val="16"/>
            <w:szCs w:val="16"/>
          </w:rPr>
          <w:t>Twitter</w:t>
        </w:r>
      </w:hyperlink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그리고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hyperlink r:id="rId23" w:history="1">
        <w:r w:rsidRPr="004E55F1">
          <w:rPr>
            <w:rStyle w:val="Hyperlink"/>
            <w:rFonts w:ascii="Calibri" w:hAnsi="Calibri" w:cs="Calibri"/>
            <w:color w:val="000000" w:themeColor="text1"/>
            <w:sz w:val="16"/>
            <w:szCs w:val="16"/>
          </w:rPr>
          <w:t>YouTube</w:t>
        </w:r>
      </w:hyperlink>
      <w:r w:rsidRPr="004E55F1">
        <w:rPr>
          <w:rFonts w:ascii="Calibri" w:hAnsi="Calibri" w:cs="Calibri"/>
          <w:color w:val="000000" w:themeColor="text1"/>
          <w:sz w:val="16"/>
          <w:szCs w:val="16"/>
        </w:rPr>
        <w:t>.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를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참조해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주시기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 xml:space="preserve"> </w:t>
      </w:r>
      <w:r w:rsidRPr="004E55F1">
        <w:rPr>
          <w:rFonts w:ascii="Malgun Gothic" w:eastAsia="Malgun Gothic" w:hAnsi="Malgun Gothic" w:cs="Malgun Gothic" w:hint="eastAsia"/>
          <w:color w:val="000000" w:themeColor="text1"/>
          <w:sz w:val="16"/>
          <w:szCs w:val="16"/>
          <w:lang w:eastAsia="ko-KR"/>
        </w:rPr>
        <w:t>바랍니다</w:t>
      </w:r>
      <w:r w:rsidRPr="004E55F1">
        <w:rPr>
          <w:rFonts w:ascii="Malgun Gothic" w:eastAsia="Malgun Gothic" w:hAnsi="Malgun Gothic" w:cs="Malgun Gothic" w:hint="cs"/>
          <w:color w:val="000000" w:themeColor="text1"/>
          <w:sz w:val="16"/>
          <w:szCs w:val="16"/>
        </w:rPr>
        <w:t>.</w:t>
      </w:r>
      <w:r w:rsidRPr="004E55F1">
        <w:rPr>
          <w:rFonts w:ascii="Malgun Gothic" w:eastAsia="Malgun Gothic" w:hAnsi="Malgun Gothic" w:cs="Malgun Gothic"/>
          <w:color w:val="000000" w:themeColor="text1"/>
          <w:sz w:val="16"/>
          <w:szCs w:val="16"/>
        </w:rPr>
        <w:t xml:space="preserve"> </w:t>
      </w:r>
    </w:p>
    <w:p w:rsidR="0086013C" w:rsidRPr="004E55F1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86013C" w:rsidRPr="004E55F1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5C5F96" w:rsidRPr="004E55F1" w:rsidRDefault="005C5F96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D108AC" w:rsidRPr="004E55F1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4E55F1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  <w:r w:rsidRPr="004E55F1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="0089371E" w:rsidRPr="004E55F1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487D8E" w:rsidRPr="004E55F1" w:rsidRDefault="0005085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>[1]</w:t>
      </w:r>
      <w:r w:rsidR="00D55720"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487D8E"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Source: Intel. Performance claim based on SPEC CPU 2017 metrics estimated by measurements on Intel internal reference platforms completed on August 27, 2020.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>Graphics claim based on 3DMark11_V1.0.4 Graphics Score estimated by measurements on Intel internal reference platforms on August 27, 2020.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Testing configuration: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Processor: Intel® Core™ i7 1185G7E PL1=15W TDP, 4C8T Turbo up to 4.4GHz </w:t>
      </w:r>
    </w:p>
    <w:p w:rsidR="00487D8E" w:rsidRPr="006B0CAA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B0CAA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Graphics: Intel Graphics Gen 12 </w:t>
      </w:r>
      <w:proofErr w:type="spellStart"/>
      <w:r w:rsidRPr="006B0CAA">
        <w:rPr>
          <w:rFonts w:ascii="Arial" w:hAnsi="Arial" w:cs="Arial"/>
          <w:color w:val="000000" w:themeColor="text1"/>
          <w:sz w:val="16"/>
          <w:szCs w:val="16"/>
          <w:lang w:val="en-US"/>
        </w:rPr>
        <w:t>gfx</w:t>
      </w:r>
      <w:proofErr w:type="spellEnd"/>
      <w:r w:rsidRPr="006B0CAA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:rsidR="00487D8E" w:rsidRPr="006B0CAA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B0CAA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Memory: 16GB DDR4-3200 </w:t>
      </w:r>
    </w:p>
    <w:p w:rsidR="00487D8E" w:rsidRPr="006B0CAA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6B0CAA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Storage: Intel SSDPEKKW512GB (512 GB, PCI-E 3.0 x4)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OS: Windows 10 Pro (x64) Build 19041.331 (2004/ May 2020 Update). Power policy set to AC/Balanced mode for all benchmarks. All benchmarks run in Admin mode &amp; Tamper Protection Disabled / Defender Disabled.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Bios: Intel Corporation TGLSFWI1.R00.3333.A00.2008122042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lastRenderedPageBreak/>
        <w:t>OneBKC</w:t>
      </w:r>
      <w:proofErr w:type="spellEnd"/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: tgl_b2b0_up3_pv_up4_qs_ifwi_2020_ww32_4_01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Processor: Intel® Core™ i7 8665UE 15W PL1=15W TDP, 4C8T Turbo up to 4.4GHz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Graphics: Intel Graphics Gen 9 </w:t>
      </w:r>
      <w:proofErr w:type="spellStart"/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>gfx</w:t>
      </w:r>
      <w:proofErr w:type="spellEnd"/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Memory: 16GB DDR4-2400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Storage: Intel SSD 545S (512GB) </w:t>
      </w:r>
    </w:p>
    <w:p w:rsidR="00487D8E" w:rsidRPr="004E55F1" w:rsidRDefault="00487D8E" w:rsidP="00487D8E">
      <w:pPr>
        <w:pStyle w:val="Endnotentext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OS: Windows 10 Enterprise (x64) Build 18362.175 (1903/ May 2019 Update). Power policy set to AC/Balanced mode for all benchmarks. All benchmarks run in Admin mode &amp; Tamper Protection Disabled / Defender Disabled. </w:t>
      </w:r>
    </w:p>
    <w:p w:rsidR="00487D8E" w:rsidRPr="004E55F1" w:rsidRDefault="00487D8E" w:rsidP="00487D8E">
      <w:pPr>
        <w:pStyle w:val="Endnotentext"/>
        <w:rPr>
          <w:color w:val="000000" w:themeColor="text1"/>
          <w:sz w:val="16"/>
          <w:szCs w:val="16"/>
        </w:rPr>
      </w:pPr>
      <w:r w:rsidRPr="004E55F1">
        <w:rPr>
          <w:rFonts w:ascii="Arial" w:hAnsi="Arial" w:cs="Arial"/>
          <w:color w:val="000000" w:themeColor="text1"/>
          <w:sz w:val="16"/>
          <w:szCs w:val="16"/>
          <w:lang w:val="en-US"/>
        </w:rPr>
        <w:t>Bios: CNLSFWR1.R00.X208.B00.1905301319</w:t>
      </w:r>
    </w:p>
    <w:p w:rsidR="00487D8E" w:rsidRPr="004E55F1" w:rsidRDefault="00487D8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4E55F1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4E55F1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sectPr w:rsidR="009030AE" w:rsidRPr="004E55F1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1B5" w:rsidRDefault="005341B5" w:rsidP="00EC733D">
      <w:r>
        <w:separator/>
      </w:r>
    </w:p>
  </w:endnote>
  <w:endnote w:type="continuationSeparator" w:id="0">
    <w:p w:rsidR="005341B5" w:rsidRDefault="005341B5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1B5" w:rsidRDefault="005341B5" w:rsidP="00EC733D">
      <w:r>
        <w:separator/>
      </w:r>
    </w:p>
  </w:footnote>
  <w:footnote w:type="continuationSeparator" w:id="0">
    <w:p w:rsidR="005341B5" w:rsidRDefault="005341B5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4613"/>
    <w:rsid w:val="00007A3F"/>
    <w:rsid w:val="0001016B"/>
    <w:rsid w:val="00010745"/>
    <w:rsid w:val="000124D5"/>
    <w:rsid w:val="00013B1B"/>
    <w:rsid w:val="0002015A"/>
    <w:rsid w:val="00021213"/>
    <w:rsid w:val="00023366"/>
    <w:rsid w:val="00026C77"/>
    <w:rsid w:val="0003097D"/>
    <w:rsid w:val="00032446"/>
    <w:rsid w:val="000355AD"/>
    <w:rsid w:val="00042600"/>
    <w:rsid w:val="00045E58"/>
    <w:rsid w:val="00047E06"/>
    <w:rsid w:val="0005085E"/>
    <w:rsid w:val="00052FCD"/>
    <w:rsid w:val="00060326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85E50"/>
    <w:rsid w:val="000910CA"/>
    <w:rsid w:val="00091AD5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D67"/>
    <w:rsid w:val="000B6F0B"/>
    <w:rsid w:val="000D1612"/>
    <w:rsid w:val="000D17C5"/>
    <w:rsid w:val="000D66D4"/>
    <w:rsid w:val="000D68BA"/>
    <w:rsid w:val="000D6EEC"/>
    <w:rsid w:val="000E6817"/>
    <w:rsid w:val="000E6F1B"/>
    <w:rsid w:val="000E736A"/>
    <w:rsid w:val="000E74E6"/>
    <w:rsid w:val="000E785A"/>
    <w:rsid w:val="000F34E8"/>
    <w:rsid w:val="000F375F"/>
    <w:rsid w:val="000F7B16"/>
    <w:rsid w:val="00100CE2"/>
    <w:rsid w:val="001029D1"/>
    <w:rsid w:val="00105BFE"/>
    <w:rsid w:val="00111110"/>
    <w:rsid w:val="001251C8"/>
    <w:rsid w:val="00133162"/>
    <w:rsid w:val="00135EBC"/>
    <w:rsid w:val="00142C3A"/>
    <w:rsid w:val="00146237"/>
    <w:rsid w:val="0014653E"/>
    <w:rsid w:val="00157343"/>
    <w:rsid w:val="0016161B"/>
    <w:rsid w:val="00162B36"/>
    <w:rsid w:val="00162B88"/>
    <w:rsid w:val="00165141"/>
    <w:rsid w:val="00175EB3"/>
    <w:rsid w:val="001767F9"/>
    <w:rsid w:val="00176CCA"/>
    <w:rsid w:val="00181222"/>
    <w:rsid w:val="00184D6F"/>
    <w:rsid w:val="001854B5"/>
    <w:rsid w:val="00187AFE"/>
    <w:rsid w:val="0019067D"/>
    <w:rsid w:val="00191871"/>
    <w:rsid w:val="00192186"/>
    <w:rsid w:val="001929EE"/>
    <w:rsid w:val="001930D7"/>
    <w:rsid w:val="0019333F"/>
    <w:rsid w:val="00195563"/>
    <w:rsid w:val="00196655"/>
    <w:rsid w:val="00197FA3"/>
    <w:rsid w:val="001A4B81"/>
    <w:rsid w:val="001B05B6"/>
    <w:rsid w:val="001B0700"/>
    <w:rsid w:val="001B6B34"/>
    <w:rsid w:val="001B6F81"/>
    <w:rsid w:val="001B7968"/>
    <w:rsid w:val="001C034B"/>
    <w:rsid w:val="001C236A"/>
    <w:rsid w:val="001C4280"/>
    <w:rsid w:val="001D055C"/>
    <w:rsid w:val="001D0E64"/>
    <w:rsid w:val="001D5512"/>
    <w:rsid w:val="001E1636"/>
    <w:rsid w:val="001E1C10"/>
    <w:rsid w:val="001E3D01"/>
    <w:rsid w:val="001E4FB1"/>
    <w:rsid w:val="001E642F"/>
    <w:rsid w:val="001F1FB5"/>
    <w:rsid w:val="001F2358"/>
    <w:rsid w:val="001F7E92"/>
    <w:rsid w:val="002009DD"/>
    <w:rsid w:val="002065F2"/>
    <w:rsid w:val="00206F3F"/>
    <w:rsid w:val="00212286"/>
    <w:rsid w:val="00221667"/>
    <w:rsid w:val="00226239"/>
    <w:rsid w:val="00227110"/>
    <w:rsid w:val="002316DC"/>
    <w:rsid w:val="00231F74"/>
    <w:rsid w:val="00233BF8"/>
    <w:rsid w:val="002368AC"/>
    <w:rsid w:val="002422FE"/>
    <w:rsid w:val="00242B04"/>
    <w:rsid w:val="002437B4"/>
    <w:rsid w:val="002448E8"/>
    <w:rsid w:val="00247403"/>
    <w:rsid w:val="00255705"/>
    <w:rsid w:val="002571A3"/>
    <w:rsid w:val="00257764"/>
    <w:rsid w:val="00263845"/>
    <w:rsid w:val="00267F9C"/>
    <w:rsid w:val="002735E5"/>
    <w:rsid w:val="002753D2"/>
    <w:rsid w:val="0027548B"/>
    <w:rsid w:val="002755E7"/>
    <w:rsid w:val="00275B73"/>
    <w:rsid w:val="00275F9A"/>
    <w:rsid w:val="00276E2E"/>
    <w:rsid w:val="002820BD"/>
    <w:rsid w:val="00283F68"/>
    <w:rsid w:val="00284193"/>
    <w:rsid w:val="0028449B"/>
    <w:rsid w:val="00286CC1"/>
    <w:rsid w:val="002872D2"/>
    <w:rsid w:val="00292D50"/>
    <w:rsid w:val="002942E8"/>
    <w:rsid w:val="00294891"/>
    <w:rsid w:val="0029557A"/>
    <w:rsid w:val="00296BC3"/>
    <w:rsid w:val="00297082"/>
    <w:rsid w:val="00297A5C"/>
    <w:rsid w:val="002A399E"/>
    <w:rsid w:val="002A7A02"/>
    <w:rsid w:val="002A7FF9"/>
    <w:rsid w:val="002B0851"/>
    <w:rsid w:val="002B14DE"/>
    <w:rsid w:val="002B2A0D"/>
    <w:rsid w:val="002C6553"/>
    <w:rsid w:val="002C673C"/>
    <w:rsid w:val="002C7003"/>
    <w:rsid w:val="002D0EE6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32419"/>
    <w:rsid w:val="00334099"/>
    <w:rsid w:val="00336657"/>
    <w:rsid w:val="0034266E"/>
    <w:rsid w:val="003430FB"/>
    <w:rsid w:val="00353C44"/>
    <w:rsid w:val="00360338"/>
    <w:rsid w:val="00361FB7"/>
    <w:rsid w:val="0036333A"/>
    <w:rsid w:val="00363887"/>
    <w:rsid w:val="00363F05"/>
    <w:rsid w:val="003674FC"/>
    <w:rsid w:val="00371CDB"/>
    <w:rsid w:val="00372CDA"/>
    <w:rsid w:val="00376CFC"/>
    <w:rsid w:val="0038470E"/>
    <w:rsid w:val="00386DAD"/>
    <w:rsid w:val="00386E85"/>
    <w:rsid w:val="003908FD"/>
    <w:rsid w:val="00391FFA"/>
    <w:rsid w:val="0039266D"/>
    <w:rsid w:val="003A0171"/>
    <w:rsid w:val="003A0575"/>
    <w:rsid w:val="003A7091"/>
    <w:rsid w:val="003B0F26"/>
    <w:rsid w:val="003B6F59"/>
    <w:rsid w:val="003B7234"/>
    <w:rsid w:val="003B7F15"/>
    <w:rsid w:val="003C34D9"/>
    <w:rsid w:val="003C7333"/>
    <w:rsid w:val="003C7779"/>
    <w:rsid w:val="003D11F9"/>
    <w:rsid w:val="003D1F72"/>
    <w:rsid w:val="003D53E6"/>
    <w:rsid w:val="003D5ED4"/>
    <w:rsid w:val="003E24B8"/>
    <w:rsid w:val="003E37F2"/>
    <w:rsid w:val="003E397A"/>
    <w:rsid w:val="003E7C17"/>
    <w:rsid w:val="003F56EE"/>
    <w:rsid w:val="003F6005"/>
    <w:rsid w:val="003F789B"/>
    <w:rsid w:val="0040323F"/>
    <w:rsid w:val="00404136"/>
    <w:rsid w:val="00407812"/>
    <w:rsid w:val="00407930"/>
    <w:rsid w:val="00411AC4"/>
    <w:rsid w:val="00420946"/>
    <w:rsid w:val="00431604"/>
    <w:rsid w:val="00434994"/>
    <w:rsid w:val="004377D1"/>
    <w:rsid w:val="00437833"/>
    <w:rsid w:val="00442E01"/>
    <w:rsid w:val="00451A2F"/>
    <w:rsid w:val="00451C75"/>
    <w:rsid w:val="0045511F"/>
    <w:rsid w:val="004610F0"/>
    <w:rsid w:val="0046464B"/>
    <w:rsid w:val="00464E20"/>
    <w:rsid w:val="0047330B"/>
    <w:rsid w:val="00475771"/>
    <w:rsid w:val="0048026C"/>
    <w:rsid w:val="00482480"/>
    <w:rsid w:val="0048507F"/>
    <w:rsid w:val="00485EFE"/>
    <w:rsid w:val="00487812"/>
    <w:rsid w:val="00487D8E"/>
    <w:rsid w:val="00490BA8"/>
    <w:rsid w:val="004964B1"/>
    <w:rsid w:val="004A32EA"/>
    <w:rsid w:val="004A381F"/>
    <w:rsid w:val="004A55C1"/>
    <w:rsid w:val="004A7D44"/>
    <w:rsid w:val="004B1541"/>
    <w:rsid w:val="004B3E18"/>
    <w:rsid w:val="004B4B85"/>
    <w:rsid w:val="004B5CC7"/>
    <w:rsid w:val="004C22EC"/>
    <w:rsid w:val="004C6581"/>
    <w:rsid w:val="004C6B9E"/>
    <w:rsid w:val="004D2177"/>
    <w:rsid w:val="004D3C02"/>
    <w:rsid w:val="004D6DF7"/>
    <w:rsid w:val="004E38D0"/>
    <w:rsid w:val="004E3EBE"/>
    <w:rsid w:val="004E4EE8"/>
    <w:rsid w:val="004E55F1"/>
    <w:rsid w:val="004E69A4"/>
    <w:rsid w:val="004F08CB"/>
    <w:rsid w:val="004F0CB0"/>
    <w:rsid w:val="004F11F7"/>
    <w:rsid w:val="004F639F"/>
    <w:rsid w:val="004F786A"/>
    <w:rsid w:val="00505EA1"/>
    <w:rsid w:val="00507579"/>
    <w:rsid w:val="005153ED"/>
    <w:rsid w:val="00520162"/>
    <w:rsid w:val="00521B18"/>
    <w:rsid w:val="00527922"/>
    <w:rsid w:val="00532998"/>
    <w:rsid w:val="005341B5"/>
    <w:rsid w:val="005358EF"/>
    <w:rsid w:val="00537987"/>
    <w:rsid w:val="00537B51"/>
    <w:rsid w:val="0054032E"/>
    <w:rsid w:val="00540FB1"/>
    <w:rsid w:val="005464B1"/>
    <w:rsid w:val="005502A5"/>
    <w:rsid w:val="0055046D"/>
    <w:rsid w:val="00552E52"/>
    <w:rsid w:val="00555F35"/>
    <w:rsid w:val="0055706B"/>
    <w:rsid w:val="00560F98"/>
    <w:rsid w:val="0056140A"/>
    <w:rsid w:val="0056230D"/>
    <w:rsid w:val="0057026E"/>
    <w:rsid w:val="005733AD"/>
    <w:rsid w:val="00573600"/>
    <w:rsid w:val="00573838"/>
    <w:rsid w:val="00573889"/>
    <w:rsid w:val="0057456A"/>
    <w:rsid w:val="005751D9"/>
    <w:rsid w:val="005807DA"/>
    <w:rsid w:val="005821CD"/>
    <w:rsid w:val="005845DA"/>
    <w:rsid w:val="0059615B"/>
    <w:rsid w:val="005A06B5"/>
    <w:rsid w:val="005A2788"/>
    <w:rsid w:val="005A4A97"/>
    <w:rsid w:val="005A795F"/>
    <w:rsid w:val="005A7A3D"/>
    <w:rsid w:val="005B049C"/>
    <w:rsid w:val="005B42A4"/>
    <w:rsid w:val="005B5D0D"/>
    <w:rsid w:val="005C2E26"/>
    <w:rsid w:val="005C57A6"/>
    <w:rsid w:val="005C5F96"/>
    <w:rsid w:val="005C6F13"/>
    <w:rsid w:val="005D2D52"/>
    <w:rsid w:val="005E1D4A"/>
    <w:rsid w:val="005E2474"/>
    <w:rsid w:val="005E310F"/>
    <w:rsid w:val="005E4D5E"/>
    <w:rsid w:val="005E7ECA"/>
    <w:rsid w:val="005F0378"/>
    <w:rsid w:val="005F1760"/>
    <w:rsid w:val="005F185A"/>
    <w:rsid w:val="005F5CB1"/>
    <w:rsid w:val="005F6A36"/>
    <w:rsid w:val="006016F2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14E3E"/>
    <w:rsid w:val="00623BD6"/>
    <w:rsid w:val="00623F0B"/>
    <w:rsid w:val="00625E49"/>
    <w:rsid w:val="006269A4"/>
    <w:rsid w:val="006274CD"/>
    <w:rsid w:val="00630751"/>
    <w:rsid w:val="00632697"/>
    <w:rsid w:val="00633BE5"/>
    <w:rsid w:val="00640FFB"/>
    <w:rsid w:val="006424FC"/>
    <w:rsid w:val="00645F91"/>
    <w:rsid w:val="00646CB4"/>
    <w:rsid w:val="00650F0B"/>
    <w:rsid w:val="0066211A"/>
    <w:rsid w:val="00664FCE"/>
    <w:rsid w:val="00667B3E"/>
    <w:rsid w:val="0067026F"/>
    <w:rsid w:val="0067240C"/>
    <w:rsid w:val="00677629"/>
    <w:rsid w:val="006816A2"/>
    <w:rsid w:val="00683AD8"/>
    <w:rsid w:val="006849B6"/>
    <w:rsid w:val="00684C56"/>
    <w:rsid w:val="00690994"/>
    <w:rsid w:val="00690ECD"/>
    <w:rsid w:val="0069357B"/>
    <w:rsid w:val="0069359A"/>
    <w:rsid w:val="00693E5B"/>
    <w:rsid w:val="006A1249"/>
    <w:rsid w:val="006A1254"/>
    <w:rsid w:val="006A3CB0"/>
    <w:rsid w:val="006A6542"/>
    <w:rsid w:val="006B0CAA"/>
    <w:rsid w:val="006B0EE9"/>
    <w:rsid w:val="006B3558"/>
    <w:rsid w:val="006B5551"/>
    <w:rsid w:val="006C22D7"/>
    <w:rsid w:val="006C2A62"/>
    <w:rsid w:val="006C30AA"/>
    <w:rsid w:val="006C3B8A"/>
    <w:rsid w:val="006C44E8"/>
    <w:rsid w:val="006C66A4"/>
    <w:rsid w:val="006D132A"/>
    <w:rsid w:val="006D6956"/>
    <w:rsid w:val="006E4456"/>
    <w:rsid w:val="006E730F"/>
    <w:rsid w:val="006E78FC"/>
    <w:rsid w:val="006E7A16"/>
    <w:rsid w:val="006F4CF5"/>
    <w:rsid w:val="006F6952"/>
    <w:rsid w:val="00702994"/>
    <w:rsid w:val="00702A04"/>
    <w:rsid w:val="00703F23"/>
    <w:rsid w:val="00706359"/>
    <w:rsid w:val="007074D1"/>
    <w:rsid w:val="00711C0B"/>
    <w:rsid w:val="0071432C"/>
    <w:rsid w:val="00726CCC"/>
    <w:rsid w:val="007276F9"/>
    <w:rsid w:val="007349D9"/>
    <w:rsid w:val="00735921"/>
    <w:rsid w:val="00735FC8"/>
    <w:rsid w:val="007430BE"/>
    <w:rsid w:val="007436D7"/>
    <w:rsid w:val="00745B41"/>
    <w:rsid w:val="007468D6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767E8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C0F96"/>
    <w:rsid w:val="007C3D97"/>
    <w:rsid w:val="007C4227"/>
    <w:rsid w:val="007C4D17"/>
    <w:rsid w:val="007C6CD9"/>
    <w:rsid w:val="007C7396"/>
    <w:rsid w:val="007D3C67"/>
    <w:rsid w:val="007D49D5"/>
    <w:rsid w:val="007E0AEB"/>
    <w:rsid w:val="007E425F"/>
    <w:rsid w:val="007E6572"/>
    <w:rsid w:val="007E752C"/>
    <w:rsid w:val="007E7AB1"/>
    <w:rsid w:val="007F5ACB"/>
    <w:rsid w:val="00800AE4"/>
    <w:rsid w:val="00803CE5"/>
    <w:rsid w:val="0080538D"/>
    <w:rsid w:val="00806047"/>
    <w:rsid w:val="008119CB"/>
    <w:rsid w:val="00811DF8"/>
    <w:rsid w:val="00814A76"/>
    <w:rsid w:val="00815A0F"/>
    <w:rsid w:val="00816E3A"/>
    <w:rsid w:val="008239A9"/>
    <w:rsid w:val="00824CA5"/>
    <w:rsid w:val="00832012"/>
    <w:rsid w:val="008326A9"/>
    <w:rsid w:val="0083586E"/>
    <w:rsid w:val="00840FD0"/>
    <w:rsid w:val="008417D5"/>
    <w:rsid w:val="008432A6"/>
    <w:rsid w:val="00843FE7"/>
    <w:rsid w:val="00844E26"/>
    <w:rsid w:val="00845FF6"/>
    <w:rsid w:val="00846888"/>
    <w:rsid w:val="00850AF3"/>
    <w:rsid w:val="00852988"/>
    <w:rsid w:val="00855286"/>
    <w:rsid w:val="0086013C"/>
    <w:rsid w:val="00864687"/>
    <w:rsid w:val="008662F0"/>
    <w:rsid w:val="00876F72"/>
    <w:rsid w:val="0088044E"/>
    <w:rsid w:val="00881B43"/>
    <w:rsid w:val="00886219"/>
    <w:rsid w:val="008879DB"/>
    <w:rsid w:val="008918D4"/>
    <w:rsid w:val="0089371E"/>
    <w:rsid w:val="00893D4C"/>
    <w:rsid w:val="008947E3"/>
    <w:rsid w:val="00896530"/>
    <w:rsid w:val="008A32AB"/>
    <w:rsid w:val="008A796F"/>
    <w:rsid w:val="008B4E8C"/>
    <w:rsid w:val="008C012F"/>
    <w:rsid w:val="008C2593"/>
    <w:rsid w:val="008C7252"/>
    <w:rsid w:val="008C78D7"/>
    <w:rsid w:val="008C7E55"/>
    <w:rsid w:val="008D162A"/>
    <w:rsid w:val="008D24CD"/>
    <w:rsid w:val="008E0C20"/>
    <w:rsid w:val="008E1710"/>
    <w:rsid w:val="008E5A1D"/>
    <w:rsid w:val="008E613C"/>
    <w:rsid w:val="008E6AD2"/>
    <w:rsid w:val="008E7F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13253"/>
    <w:rsid w:val="0091597E"/>
    <w:rsid w:val="00915B34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6FCC"/>
    <w:rsid w:val="0093737F"/>
    <w:rsid w:val="00942840"/>
    <w:rsid w:val="00942E41"/>
    <w:rsid w:val="00943C17"/>
    <w:rsid w:val="00944838"/>
    <w:rsid w:val="00946819"/>
    <w:rsid w:val="00947DB4"/>
    <w:rsid w:val="00955A47"/>
    <w:rsid w:val="00955E11"/>
    <w:rsid w:val="00957D33"/>
    <w:rsid w:val="00960686"/>
    <w:rsid w:val="00961278"/>
    <w:rsid w:val="00964ABC"/>
    <w:rsid w:val="009651A1"/>
    <w:rsid w:val="009671B5"/>
    <w:rsid w:val="009702BE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1209"/>
    <w:rsid w:val="009915D7"/>
    <w:rsid w:val="00991FB1"/>
    <w:rsid w:val="00992104"/>
    <w:rsid w:val="00996FD1"/>
    <w:rsid w:val="009977CF"/>
    <w:rsid w:val="009A43D5"/>
    <w:rsid w:val="009A4B68"/>
    <w:rsid w:val="009A5657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E225B"/>
    <w:rsid w:val="009E4DD7"/>
    <w:rsid w:val="009E5B0E"/>
    <w:rsid w:val="009E5CFB"/>
    <w:rsid w:val="009E5E22"/>
    <w:rsid w:val="009E60CE"/>
    <w:rsid w:val="009F1BCA"/>
    <w:rsid w:val="009F1E40"/>
    <w:rsid w:val="009F22C1"/>
    <w:rsid w:val="009F2413"/>
    <w:rsid w:val="009F4667"/>
    <w:rsid w:val="009F4687"/>
    <w:rsid w:val="009F5C8A"/>
    <w:rsid w:val="00A12D1D"/>
    <w:rsid w:val="00A15F49"/>
    <w:rsid w:val="00A171BD"/>
    <w:rsid w:val="00A223D2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826A1"/>
    <w:rsid w:val="00A83753"/>
    <w:rsid w:val="00A86883"/>
    <w:rsid w:val="00A94AC7"/>
    <w:rsid w:val="00A965C5"/>
    <w:rsid w:val="00A97575"/>
    <w:rsid w:val="00AA03DF"/>
    <w:rsid w:val="00AA602D"/>
    <w:rsid w:val="00AB1516"/>
    <w:rsid w:val="00AB31DB"/>
    <w:rsid w:val="00AB3308"/>
    <w:rsid w:val="00AB3464"/>
    <w:rsid w:val="00AB4D06"/>
    <w:rsid w:val="00AC0275"/>
    <w:rsid w:val="00AC05FD"/>
    <w:rsid w:val="00AD1C03"/>
    <w:rsid w:val="00AD6B52"/>
    <w:rsid w:val="00AD6F45"/>
    <w:rsid w:val="00AD73E9"/>
    <w:rsid w:val="00AE5716"/>
    <w:rsid w:val="00AF0DE2"/>
    <w:rsid w:val="00AF1538"/>
    <w:rsid w:val="00AF2851"/>
    <w:rsid w:val="00B0389C"/>
    <w:rsid w:val="00B03ECB"/>
    <w:rsid w:val="00B0492F"/>
    <w:rsid w:val="00B06971"/>
    <w:rsid w:val="00B1003C"/>
    <w:rsid w:val="00B1214C"/>
    <w:rsid w:val="00B14955"/>
    <w:rsid w:val="00B16D6D"/>
    <w:rsid w:val="00B1777B"/>
    <w:rsid w:val="00B2315B"/>
    <w:rsid w:val="00B23729"/>
    <w:rsid w:val="00B2551A"/>
    <w:rsid w:val="00B3007A"/>
    <w:rsid w:val="00B30AF9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1747"/>
    <w:rsid w:val="00B8272D"/>
    <w:rsid w:val="00B86632"/>
    <w:rsid w:val="00B86D2C"/>
    <w:rsid w:val="00B90F0C"/>
    <w:rsid w:val="00B93BA5"/>
    <w:rsid w:val="00B94688"/>
    <w:rsid w:val="00B951F8"/>
    <w:rsid w:val="00B96ED0"/>
    <w:rsid w:val="00BA036D"/>
    <w:rsid w:val="00BA1051"/>
    <w:rsid w:val="00BA165A"/>
    <w:rsid w:val="00BA2AA4"/>
    <w:rsid w:val="00BA42CE"/>
    <w:rsid w:val="00BA5EC5"/>
    <w:rsid w:val="00BA5FC5"/>
    <w:rsid w:val="00BA6776"/>
    <w:rsid w:val="00BA74D7"/>
    <w:rsid w:val="00BB4393"/>
    <w:rsid w:val="00BB58AA"/>
    <w:rsid w:val="00BC3787"/>
    <w:rsid w:val="00BC3EA5"/>
    <w:rsid w:val="00BC4362"/>
    <w:rsid w:val="00BC5936"/>
    <w:rsid w:val="00BD26D1"/>
    <w:rsid w:val="00BD4A92"/>
    <w:rsid w:val="00BE2C60"/>
    <w:rsid w:val="00BE4009"/>
    <w:rsid w:val="00BE6A4C"/>
    <w:rsid w:val="00BE74A6"/>
    <w:rsid w:val="00BF1A72"/>
    <w:rsid w:val="00BF3370"/>
    <w:rsid w:val="00BF46BD"/>
    <w:rsid w:val="00BF4B53"/>
    <w:rsid w:val="00C00161"/>
    <w:rsid w:val="00C00771"/>
    <w:rsid w:val="00C037ED"/>
    <w:rsid w:val="00C04DCF"/>
    <w:rsid w:val="00C05568"/>
    <w:rsid w:val="00C070F8"/>
    <w:rsid w:val="00C0733C"/>
    <w:rsid w:val="00C1080D"/>
    <w:rsid w:val="00C1254F"/>
    <w:rsid w:val="00C12B41"/>
    <w:rsid w:val="00C16073"/>
    <w:rsid w:val="00C17B72"/>
    <w:rsid w:val="00C17E62"/>
    <w:rsid w:val="00C23DEB"/>
    <w:rsid w:val="00C25656"/>
    <w:rsid w:val="00C25E9F"/>
    <w:rsid w:val="00C27CCB"/>
    <w:rsid w:val="00C36381"/>
    <w:rsid w:val="00C42100"/>
    <w:rsid w:val="00C42B00"/>
    <w:rsid w:val="00C43E48"/>
    <w:rsid w:val="00C45FF4"/>
    <w:rsid w:val="00C52F06"/>
    <w:rsid w:val="00C54A89"/>
    <w:rsid w:val="00C62037"/>
    <w:rsid w:val="00C6767E"/>
    <w:rsid w:val="00C67E97"/>
    <w:rsid w:val="00C709A3"/>
    <w:rsid w:val="00C73E2D"/>
    <w:rsid w:val="00C75423"/>
    <w:rsid w:val="00C77C03"/>
    <w:rsid w:val="00C80E04"/>
    <w:rsid w:val="00C84C8D"/>
    <w:rsid w:val="00C87AB3"/>
    <w:rsid w:val="00C90DCA"/>
    <w:rsid w:val="00C9315B"/>
    <w:rsid w:val="00C94802"/>
    <w:rsid w:val="00CA0D75"/>
    <w:rsid w:val="00CA38C1"/>
    <w:rsid w:val="00CA5BBA"/>
    <w:rsid w:val="00CB57A0"/>
    <w:rsid w:val="00CC0381"/>
    <w:rsid w:val="00CC137C"/>
    <w:rsid w:val="00CC22B6"/>
    <w:rsid w:val="00CC4509"/>
    <w:rsid w:val="00CC689B"/>
    <w:rsid w:val="00CD19EC"/>
    <w:rsid w:val="00CD443D"/>
    <w:rsid w:val="00CD539B"/>
    <w:rsid w:val="00CD624B"/>
    <w:rsid w:val="00CD76F1"/>
    <w:rsid w:val="00CE2C7F"/>
    <w:rsid w:val="00CE3C20"/>
    <w:rsid w:val="00CE45A0"/>
    <w:rsid w:val="00CF333A"/>
    <w:rsid w:val="00CF392D"/>
    <w:rsid w:val="00CF437E"/>
    <w:rsid w:val="00D00E35"/>
    <w:rsid w:val="00D01B26"/>
    <w:rsid w:val="00D02440"/>
    <w:rsid w:val="00D03C82"/>
    <w:rsid w:val="00D07D37"/>
    <w:rsid w:val="00D108AC"/>
    <w:rsid w:val="00D10AA2"/>
    <w:rsid w:val="00D12732"/>
    <w:rsid w:val="00D15296"/>
    <w:rsid w:val="00D20E3E"/>
    <w:rsid w:val="00D24F37"/>
    <w:rsid w:val="00D26CA7"/>
    <w:rsid w:val="00D2788B"/>
    <w:rsid w:val="00D300FD"/>
    <w:rsid w:val="00D308A6"/>
    <w:rsid w:val="00D36280"/>
    <w:rsid w:val="00D42B76"/>
    <w:rsid w:val="00D42FDF"/>
    <w:rsid w:val="00D4310E"/>
    <w:rsid w:val="00D47538"/>
    <w:rsid w:val="00D5329A"/>
    <w:rsid w:val="00D55720"/>
    <w:rsid w:val="00D6105D"/>
    <w:rsid w:val="00D6201B"/>
    <w:rsid w:val="00D6290C"/>
    <w:rsid w:val="00D6303C"/>
    <w:rsid w:val="00D66622"/>
    <w:rsid w:val="00D67102"/>
    <w:rsid w:val="00D73FAE"/>
    <w:rsid w:val="00D74E6B"/>
    <w:rsid w:val="00D75EA8"/>
    <w:rsid w:val="00D77A46"/>
    <w:rsid w:val="00D77BCB"/>
    <w:rsid w:val="00D82184"/>
    <w:rsid w:val="00D84630"/>
    <w:rsid w:val="00D91433"/>
    <w:rsid w:val="00D93288"/>
    <w:rsid w:val="00D93EDB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C73A7"/>
    <w:rsid w:val="00DD2D13"/>
    <w:rsid w:val="00DD34C6"/>
    <w:rsid w:val="00DD6943"/>
    <w:rsid w:val="00DE13EA"/>
    <w:rsid w:val="00DE14B9"/>
    <w:rsid w:val="00DE150B"/>
    <w:rsid w:val="00DE2A02"/>
    <w:rsid w:val="00DF1EC0"/>
    <w:rsid w:val="00DF642F"/>
    <w:rsid w:val="00E04372"/>
    <w:rsid w:val="00E04FA1"/>
    <w:rsid w:val="00E0599D"/>
    <w:rsid w:val="00E06489"/>
    <w:rsid w:val="00E077EE"/>
    <w:rsid w:val="00E10657"/>
    <w:rsid w:val="00E17318"/>
    <w:rsid w:val="00E25F47"/>
    <w:rsid w:val="00E309B0"/>
    <w:rsid w:val="00E310D7"/>
    <w:rsid w:val="00E43070"/>
    <w:rsid w:val="00E463FB"/>
    <w:rsid w:val="00E529F9"/>
    <w:rsid w:val="00E5322D"/>
    <w:rsid w:val="00E54C41"/>
    <w:rsid w:val="00E5570B"/>
    <w:rsid w:val="00E62BC5"/>
    <w:rsid w:val="00E6359D"/>
    <w:rsid w:val="00E66919"/>
    <w:rsid w:val="00E73609"/>
    <w:rsid w:val="00E7691F"/>
    <w:rsid w:val="00E800C1"/>
    <w:rsid w:val="00E8348E"/>
    <w:rsid w:val="00E8535F"/>
    <w:rsid w:val="00E869DF"/>
    <w:rsid w:val="00E87622"/>
    <w:rsid w:val="00E90F24"/>
    <w:rsid w:val="00E937E1"/>
    <w:rsid w:val="00E94B78"/>
    <w:rsid w:val="00E95B84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B707C"/>
    <w:rsid w:val="00EC06F4"/>
    <w:rsid w:val="00EC1C71"/>
    <w:rsid w:val="00EC5DB5"/>
    <w:rsid w:val="00EC6357"/>
    <w:rsid w:val="00EC6ACF"/>
    <w:rsid w:val="00EC733D"/>
    <w:rsid w:val="00ED020E"/>
    <w:rsid w:val="00ED3235"/>
    <w:rsid w:val="00EE1184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EF6D99"/>
    <w:rsid w:val="00F014BE"/>
    <w:rsid w:val="00F0237C"/>
    <w:rsid w:val="00F0246E"/>
    <w:rsid w:val="00F042D6"/>
    <w:rsid w:val="00F0689D"/>
    <w:rsid w:val="00F074A1"/>
    <w:rsid w:val="00F07870"/>
    <w:rsid w:val="00F07E16"/>
    <w:rsid w:val="00F11BE2"/>
    <w:rsid w:val="00F12508"/>
    <w:rsid w:val="00F15BB4"/>
    <w:rsid w:val="00F168F1"/>
    <w:rsid w:val="00F22653"/>
    <w:rsid w:val="00F23EC1"/>
    <w:rsid w:val="00F2409C"/>
    <w:rsid w:val="00F243B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3658"/>
    <w:rsid w:val="00F53974"/>
    <w:rsid w:val="00F541AF"/>
    <w:rsid w:val="00F54AB1"/>
    <w:rsid w:val="00F64431"/>
    <w:rsid w:val="00F64F3F"/>
    <w:rsid w:val="00F66EEC"/>
    <w:rsid w:val="00F703D5"/>
    <w:rsid w:val="00F73175"/>
    <w:rsid w:val="00F76360"/>
    <w:rsid w:val="00F80547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69EB"/>
    <w:rsid w:val="00FC307B"/>
    <w:rsid w:val="00FC78A7"/>
    <w:rsid w:val="00FD2C41"/>
    <w:rsid w:val="00FD2E48"/>
    <w:rsid w:val="00FD506B"/>
    <w:rsid w:val="00FD57F4"/>
    <w:rsid w:val="00FD5D5C"/>
    <w:rsid w:val="00FE124D"/>
    <w:rsid w:val="00FE4043"/>
    <w:rsid w:val="00FE702F"/>
    <w:rsid w:val="00FF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E55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com/ko/products/com-hpc/conga-hpcctl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455449" TargetMode="External"/><Relationship Id="rId7" Type="http://schemas.openxmlformats.org/officeDocument/2006/relationships/settings" Target="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www.congatec.com/ko/congatec/press-releas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kr-sales@congatec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://www.youtube.com/congatecA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ngatec.com/11th-gen-intel-co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4C82B2-3B71-4497-B67F-A2DEB5AE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5180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cp:lastPrinted>2020-02-17T08:14:00Z</cp:lastPrinted>
  <dcterms:created xsi:type="dcterms:W3CDTF">2020-11-27T03:36:00Z</dcterms:created>
  <dcterms:modified xsi:type="dcterms:W3CDTF">2020-12-21T09:51:00Z</dcterms:modified>
</cp:coreProperties>
</file>