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552CCE" w:rsidRPr="00D84630" w:rsidTr="00552CCE">
        <w:trPr>
          <w:trHeight w:val="270"/>
        </w:trPr>
        <w:tc>
          <w:tcPr>
            <w:tcW w:w="2552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552CCE" w:rsidRPr="00D84630" w:rsidTr="00552CC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552CCE" w:rsidRPr="00D84630" w:rsidTr="00552CCE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Michael Hermen</w:t>
            </w:r>
          </w:p>
        </w:tc>
      </w:tr>
      <w:tr w:rsidR="00552CCE" w:rsidRPr="00D84630" w:rsidTr="00552CC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552CCE" w:rsidRPr="00D84630" w:rsidRDefault="00552CCE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552CCE" w:rsidRPr="00D84630" w:rsidTr="00552CCE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552CCE" w:rsidRPr="00BB3D20" w:rsidRDefault="00596EE7" w:rsidP="00552CCE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1" w:history="1">
              <w:r w:rsidR="00552CCE"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552CCE" w:rsidRPr="00EC1C71" w:rsidRDefault="00596EE7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552CCE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552CCE" w:rsidRPr="00EC1C71" w:rsidRDefault="00596EE7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552CCE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52CCE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2CCE" w:rsidRPr="00EC1C71" w:rsidRDefault="00596EE7" w:rsidP="00552CCE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552CCE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552CCE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C06C8" w:rsidRDefault="007C06C8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C06C8" w:rsidRPr="00EC1C71" w:rsidRDefault="0043273A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pict w14:anchorId="6CD3E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94.5pt">
            <v:imagedata r:id="rId15" o:title="conga-smc1x86"/>
          </v:shape>
        </w:pict>
      </w:r>
    </w:p>
    <w:p w:rsidR="00552CCE" w:rsidRPr="00552CCE" w:rsidRDefault="00263845" w:rsidP="00227110">
      <w:pPr>
        <w:spacing w:after="120"/>
        <w:rPr>
          <w:sz w:val="16"/>
          <w:szCs w:val="16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552CCE" w:rsidRPr="00552CCE">
          <w:rPr>
            <w:rStyle w:val="Hyperlink"/>
            <w:sz w:val="16"/>
            <w:szCs w:val="16"/>
            <w:lang w:val="en-US"/>
          </w:rPr>
          <w:t>https://www.congatec.com/ko/congatec/press-releases/</w:t>
        </w:r>
      </w:hyperlink>
    </w:p>
    <w:p w:rsidR="00D108AC" w:rsidRPr="00D84630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sz w:val="22"/>
          <w:lang w:val="en-US"/>
        </w:rPr>
        <w:br/>
      </w:r>
    </w:p>
    <w:p w:rsidR="00D108AC" w:rsidRPr="00816E3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:rsidR="00552CCE" w:rsidRPr="00552CCE" w:rsidRDefault="00552CCE" w:rsidP="00552CCE">
      <w:pPr>
        <w:spacing w:line="0" w:lineRule="atLeast"/>
        <w:jc w:val="center"/>
        <w:rPr>
          <w:rFonts w:ascii="Malgun Gothic" w:eastAsia="Malgun Gothic" w:hAnsi="Malgun Gothic" w:cs="Arial"/>
          <w:lang w:val="en-US"/>
        </w:rPr>
      </w:pPr>
      <w:r w:rsidRPr="00F62C11">
        <w:rPr>
          <w:rFonts w:ascii="Malgun Gothic" w:eastAsia="Malgun Gothic" w:hAnsi="Malgun Gothic" w:hint="eastAsia"/>
        </w:rPr>
        <w:t>크기가</w:t>
      </w:r>
      <w:r w:rsidRPr="00552CCE">
        <w:rPr>
          <w:rFonts w:ascii="Malgun Gothic" w:eastAsia="Malgun Gothic" w:hAnsi="Malgun Gothic" w:hint="eastAsia"/>
          <w:lang w:val="en-US"/>
        </w:rPr>
        <w:t xml:space="preserve"> </w:t>
      </w:r>
      <w:r w:rsidRPr="00F62C11">
        <w:rPr>
          <w:rFonts w:ascii="Malgun Gothic" w:eastAsia="Malgun Gothic" w:hAnsi="Malgun Gothic" w:hint="eastAsia"/>
        </w:rPr>
        <w:t>최적화된</w:t>
      </w:r>
      <w:r w:rsidRPr="00552CCE">
        <w:rPr>
          <w:rFonts w:ascii="Malgun Gothic" w:eastAsia="Malgun Gothic" w:hAnsi="Malgun Gothic" w:hint="eastAsia"/>
          <w:lang w:val="en-US"/>
        </w:rPr>
        <w:t xml:space="preserve"> congatec(</w:t>
      </w:r>
      <w:r w:rsidRPr="00F62C11">
        <w:rPr>
          <w:rFonts w:ascii="Malgun Gothic" w:eastAsia="Malgun Gothic" w:hAnsi="Malgun Gothic" w:hint="eastAsia"/>
        </w:rPr>
        <w:t>콩가텍</w:t>
      </w:r>
      <w:r w:rsidRPr="00552CCE">
        <w:rPr>
          <w:rFonts w:ascii="Malgun Gothic" w:eastAsia="Malgun Gothic" w:hAnsi="Malgun Gothic" w:hint="eastAsia"/>
          <w:lang w:val="en-US"/>
        </w:rPr>
        <w:t xml:space="preserve">) SMARC 2.1 </w:t>
      </w:r>
      <w:r w:rsidRPr="00F62C11">
        <w:rPr>
          <w:rFonts w:ascii="Malgun Gothic" w:eastAsia="Malgun Gothic" w:hAnsi="Malgun Gothic" w:hint="eastAsia"/>
        </w:rPr>
        <w:t>캐리어</w:t>
      </w:r>
      <w:r w:rsidRPr="00552CCE">
        <w:rPr>
          <w:rFonts w:ascii="Malgun Gothic" w:eastAsia="Malgun Gothic" w:hAnsi="Malgun Gothic" w:hint="eastAsia"/>
          <w:lang w:val="en-US"/>
        </w:rPr>
        <w:t xml:space="preserve"> </w:t>
      </w:r>
      <w:r w:rsidRPr="00F62C11">
        <w:rPr>
          <w:rFonts w:ascii="Malgun Gothic" w:eastAsia="Malgun Gothic" w:hAnsi="Malgun Gothic" w:hint="eastAsia"/>
        </w:rPr>
        <w:t>보드로</w:t>
      </w:r>
      <w:r w:rsidRPr="00552CCE">
        <w:rPr>
          <w:rFonts w:ascii="Malgun Gothic" w:eastAsia="Malgun Gothic" w:hAnsi="Malgun Gothic" w:hint="eastAsia"/>
          <w:lang w:val="en-US"/>
        </w:rPr>
        <w:t xml:space="preserve"> Intel Atom</w:t>
      </w:r>
      <w:r w:rsidRPr="00552CCE">
        <w:rPr>
          <w:rFonts w:ascii="Malgun Gothic" w:eastAsia="Malgun Gothic" w:hAnsi="Malgun Gothic" w:hint="eastAsia"/>
          <w:vertAlign w:val="superscript"/>
          <w:lang w:val="en-US"/>
        </w:rPr>
        <w:t>®</w:t>
      </w:r>
      <w:r w:rsidRPr="00552CCE">
        <w:rPr>
          <w:rFonts w:ascii="Malgun Gothic" w:eastAsia="Malgun Gothic" w:hAnsi="Malgun Gothic" w:hint="eastAsia"/>
          <w:lang w:val="en-US"/>
        </w:rPr>
        <w:t xml:space="preserve"> </w:t>
      </w:r>
      <w:r w:rsidRPr="00F62C11">
        <w:rPr>
          <w:rFonts w:ascii="Malgun Gothic" w:eastAsia="Malgun Gothic" w:hAnsi="Malgun Gothic" w:hint="eastAsia"/>
        </w:rPr>
        <w:t>프로세서</w:t>
      </w:r>
      <w:r w:rsidRPr="00552CCE">
        <w:rPr>
          <w:rFonts w:ascii="Malgun Gothic" w:eastAsia="Malgun Gothic" w:hAnsi="Malgun Gothic" w:hint="eastAsia"/>
          <w:lang w:val="en-US"/>
        </w:rPr>
        <w:t xml:space="preserve"> </w:t>
      </w:r>
      <w:r w:rsidRPr="00F62C11">
        <w:rPr>
          <w:rFonts w:ascii="Malgun Gothic" w:eastAsia="Malgun Gothic" w:hAnsi="Malgun Gothic" w:hint="eastAsia"/>
        </w:rPr>
        <w:t>기반의</w:t>
      </w:r>
      <w:r w:rsidRPr="00552CCE">
        <w:rPr>
          <w:rFonts w:ascii="Malgun Gothic" w:eastAsia="Malgun Gothic" w:hAnsi="Malgun Gothic" w:hint="eastAsia"/>
          <w:lang w:val="en-US"/>
        </w:rPr>
        <w:t xml:space="preserve"> </w:t>
      </w:r>
      <w:r w:rsidRPr="00F62C11">
        <w:rPr>
          <w:rFonts w:ascii="Malgun Gothic" w:eastAsia="Malgun Gothic" w:hAnsi="Malgun Gothic" w:hint="eastAsia"/>
        </w:rPr>
        <w:t>모듈식</w:t>
      </w:r>
      <w:r w:rsidRPr="00552CCE">
        <w:rPr>
          <w:rFonts w:ascii="Malgun Gothic" w:eastAsia="Malgun Gothic" w:hAnsi="Malgun Gothic" w:hint="eastAsia"/>
          <w:lang w:val="en-US"/>
        </w:rPr>
        <w:t xml:space="preserve"> 3.5</w:t>
      </w:r>
      <w:r w:rsidRPr="00F62C11">
        <w:rPr>
          <w:rFonts w:ascii="Malgun Gothic" w:eastAsia="Malgun Gothic" w:hAnsi="Malgun Gothic" w:hint="eastAsia"/>
        </w:rPr>
        <w:t>인치</w:t>
      </w:r>
      <w:r w:rsidRPr="00552CCE">
        <w:rPr>
          <w:rFonts w:ascii="Malgun Gothic" w:eastAsia="Malgun Gothic" w:hAnsi="Malgun Gothic" w:hint="eastAsia"/>
          <w:lang w:val="en-US"/>
        </w:rPr>
        <w:t xml:space="preserve"> SBC </w:t>
      </w:r>
      <w:r w:rsidRPr="00F62C11">
        <w:rPr>
          <w:rFonts w:ascii="Malgun Gothic" w:eastAsia="Malgun Gothic" w:hAnsi="Malgun Gothic" w:hint="eastAsia"/>
        </w:rPr>
        <w:t>구현</w:t>
      </w:r>
    </w:p>
    <w:p w:rsidR="00552CCE" w:rsidRPr="00F62C11" w:rsidRDefault="00552CCE" w:rsidP="00552CCE">
      <w:pPr>
        <w:spacing w:line="0" w:lineRule="atLeast"/>
        <w:jc w:val="center"/>
        <w:rPr>
          <w:rFonts w:ascii="Malgun Gothic" w:eastAsia="Malgun Gothic" w:hAnsi="Malgun Gothic" w:cs="Arial"/>
          <w:lang w:val="en-US"/>
        </w:rPr>
      </w:pPr>
    </w:p>
    <w:p w:rsidR="00552CCE" w:rsidRPr="00552CCE" w:rsidRDefault="00552CCE" w:rsidP="00552CCE">
      <w:pPr>
        <w:spacing w:line="0" w:lineRule="atLeast"/>
        <w:jc w:val="center"/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</w:pP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애플리케이션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  <w:lang w:val="en-US"/>
        </w:rPr>
        <w:t xml:space="preserve"> 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지원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  <w:lang w:val="en-US"/>
        </w:rPr>
        <w:t xml:space="preserve"> congatec(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콩가텍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  <w:lang w:val="en-US"/>
        </w:rPr>
        <w:t>) COM/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캐리어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  <w:lang w:val="en-US"/>
        </w:rPr>
        <w:t xml:space="preserve"> 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결합</w:t>
      </w: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/>
        </w:rPr>
      </w:pPr>
    </w:p>
    <w:p w:rsidR="00297A5C" w:rsidRPr="00552CCE" w:rsidRDefault="00297A5C" w:rsidP="00E87622">
      <w:pPr>
        <w:rPr>
          <w:rStyle w:val="Kommentarzeichen1"/>
          <w:rFonts w:ascii="Arial" w:hAnsi="Arial" w:cs="Arial"/>
          <w:b/>
          <w:color w:val="000000" w:themeColor="text1"/>
          <w:sz w:val="22"/>
          <w:szCs w:val="22"/>
          <w:highlight w:val="yellow"/>
          <w:lang w:val="en-US"/>
        </w:rPr>
      </w:pPr>
    </w:p>
    <w:p w:rsidR="00552CCE" w:rsidRPr="00552CCE" w:rsidRDefault="005729F5" w:rsidP="00552CCE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>
        <w:rPr>
          <w:rFonts w:ascii="Arial" w:hAnsi="Arial" w:cs="Arial"/>
          <w:b/>
          <w:sz w:val="22"/>
          <w:szCs w:val="22"/>
          <w:lang w:val="en-US"/>
        </w:rPr>
        <w:t>Seoul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Korea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2 June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 2020</w:t>
      </w:r>
      <w:r w:rsidRPr="00D501B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108AC" w:rsidRPr="00552CCE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* * *</w:t>
      </w:r>
      <w:r w:rsidR="00D108AC" w:rsidRPr="00552CC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기술의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공급업체인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noBreakHyphen/>
        <w:t>SMC1/SMARC-x86 3.5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보드를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선보였습니다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3.5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규격의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크기가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최적화된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SMARC 2.1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보드는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지금까지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 SMARC Computer-on-Module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과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결합하여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중소형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시리즈로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배포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애플리케이션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상용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제품입니다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모듈식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3.5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SBC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맞춰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Gen 5 Intel Atom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 w:eastAsia="ko-KR"/>
        </w:rPr>
        <w:t>®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, Celeron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 w:eastAsia="ko-KR"/>
        </w:rPr>
        <w:t>®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, Pentium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 w:eastAsia="ko-KR"/>
        </w:rPr>
        <w:t>®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(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코드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: Apollo Lake)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뿐만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아니라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향후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출시될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저전력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x86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세대에도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최적화되었습니다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SMARC 2.1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모듈용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슬롯으로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소켓이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독립적으로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확장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가능하기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때문에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, OEM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솔루션의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유연성이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높아지고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장기간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가능합니다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552CCE" w:rsidRPr="00552CCE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PCB layer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더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적은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3.5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PCB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설계는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맞춤형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비교하여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복잡하고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비쌉니다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다른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이득은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신속하게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고객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맞춤형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기능을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구현하는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방식으로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높은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맞춤형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효율성을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보장합니다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특정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인터페이스를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추가하거나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삭제하는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작업은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시장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진출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시점에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맞출수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있게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상당히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빠르며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상대적으로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간단하고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비용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효율적이고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일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년에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약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500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보드정도의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로트로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대량의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초고효율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프로젝트의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경우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 COM/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결합은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매력적인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옵션입니다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SMARC</w:t>
      </w:r>
      <w:r w:rsidR="00552CCE" w:rsidRPr="00552CCE">
        <w:rPr>
          <w:rFonts w:ascii="Malgun Gothic" w:eastAsia="Malgun Gothic" w:hAnsi="Malgun Gothic" w:hint="eastAsia"/>
          <w:color w:val="FF0000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lastRenderedPageBreak/>
        <w:t>모듈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고객은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자체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설계에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참고할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있도록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설계도를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무료로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받아보실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="00552CCE"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  <w:r w:rsidR="00552CCE" w:rsidRPr="00552CCE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 </w:t>
      </w:r>
    </w:p>
    <w:p w:rsidR="005D52EE" w:rsidRPr="00552CCE" w:rsidRDefault="005D52EE" w:rsidP="0029557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“Computer-on-Module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활용하면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전체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산업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IoT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세계에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방식을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도입할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3.5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규격의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크기가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최적화된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SMARC 2.1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모듈식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특성을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강화하기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로드맵의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시작점에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불과합니다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다양한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부문의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파트너와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함께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표준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규격를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사용하는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업체에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엄청난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이득을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있으면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반면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마더보드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SBC </w:t>
      </w:r>
      <w:r w:rsidRPr="00552CCE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>,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그리고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 CompactPCI Serial, PXI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또는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VME/VPX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등의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백엔드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모듈식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서버등을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사용하는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업체에는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위협이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  <w:r w:rsidRPr="00552CCE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”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라고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제품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관리팀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책임자인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Martin Danzer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설명합니다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conga-SMC1/SMARC-x86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Intel Atom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기술에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맞춰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최적화된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오디오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코덱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USB-C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구현과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함께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뛰어난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기능을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또한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MIPI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카메라에도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최적화되어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없이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직접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연결할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MIPI-CSI 2.0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커넥터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덕분에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3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차원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비전을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제공하는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개발할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있으므로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자율주행차량의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상황인식에도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인공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지능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신경망용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통합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결합된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COTS(commercial off-the-shelf,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상용제품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)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플랫폼은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개발자가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스마트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필요로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사항을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컴파일된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바이너리를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포괄적인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소프트웨어의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COTS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사항을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보완해줍니다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 w:eastAsia="ko-KR"/>
        </w:rPr>
      </w:pPr>
      <w:r w:rsidRPr="00552CCE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eastAsia="ko-KR"/>
        </w:rPr>
        <w:t>기능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 w:eastAsia="ko-KR"/>
        </w:rPr>
        <w:t xml:space="preserve">  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eastAsia="ko-KR"/>
        </w:rPr>
        <w:t>상세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eastAsia="ko-KR"/>
        </w:rPr>
        <w:t>정보</w:t>
      </w:r>
    </w:p>
    <w:p w:rsidR="00552CCE" w:rsidRPr="00552CCE" w:rsidRDefault="00552CCE" w:rsidP="00552CCE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3.5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규격의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사이즈가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최적화된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conga-SMC1/SMARC-x86 SMARC 2.1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Intel Atom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 w:eastAsia="ko-KR"/>
        </w:rPr>
        <w:t>®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(E3950, E3940, E3930)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부터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Celeron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 w:eastAsia="ko-KR"/>
        </w:rPr>
        <w:t>®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(N3350)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Pentium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 w:eastAsia="ko-KR"/>
        </w:rPr>
        <w:t>®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(N4200)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프로세서까지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전체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Intel Apollo Lake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범위에서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확장할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단지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146 x 102mm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사이즈의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크기에서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conga-SMC1/SMARC-x86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듀얼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GbE, 5x USB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USB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허브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외부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드라이브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또는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SSD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SATA 3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맞춤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확장의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경우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miniPCIe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슬롯은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물론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I2S, PCIe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USB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사용하는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M.2 Type E E2230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슬롯과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2x PCIe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1x USB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사용하는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M.2 Type B B2242/2280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IoT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연결을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통합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MicroSim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슬롯도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제공되며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4x UART, 2x CAN, 8x GPIO, I2C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SPI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등의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특정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인터페이스도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HDMI, LVDS/eDP/DP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MIPI-DSI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디스플레이를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연결할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추가적으로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카메라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연결을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두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MIPI-CSI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입력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장치를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오디오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잭을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I2S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사운드를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구현할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보드에는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전체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Windows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RTS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하이퍼바이저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제공됩니다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오픈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소스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커뮤니티의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경우에도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적합하게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구성된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부트로더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적절히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컴파일된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Linux, Yocto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Android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이미지는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물론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GitHub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에서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congatec(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)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고객이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사용할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있는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모든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lastRenderedPageBreak/>
        <w:t>필수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드라이버와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함께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사전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컴파일된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바이너리를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제공합니다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캐리어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보드는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다음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SMARC Computer-on-Module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구성에서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사용할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수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552CCE">
        <w:rPr>
          <w:rFonts w:ascii="Malgun Gothic" w:eastAsia="Malgun Gothic" w:hAnsi="Malgun Gothic" w:hint="eastAsia"/>
          <w:sz w:val="22"/>
          <w:szCs w:val="22"/>
          <w:lang w:val="en-US" w:eastAsia="ko-KR"/>
        </w:rPr>
        <w:t>.</w:t>
      </w:r>
    </w:p>
    <w:p w:rsidR="007C4367" w:rsidRDefault="007C4367">
      <w:pPr>
        <w:suppressAutoHyphens w:val="0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B7D40" w:rsidRDefault="00AB7D40" w:rsidP="006124E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tbl>
      <w:tblPr>
        <w:tblW w:w="8905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37"/>
        <w:gridCol w:w="236"/>
        <w:gridCol w:w="1304"/>
        <w:gridCol w:w="236"/>
        <w:gridCol w:w="1134"/>
        <w:gridCol w:w="236"/>
        <w:gridCol w:w="1134"/>
        <w:gridCol w:w="236"/>
        <w:gridCol w:w="1134"/>
      </w:tblGrid>
      <w:tr w:rsidR="00AB7D40" w:rsidRPr="00AB7D40" w:rsidTr="00F61FB5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AB7D40" w:rsidRPr="00B82F46" w:rsidRDefault="003A70E8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3A70E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Intel® Smart Cache [MB]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Clock/ Burst</w:t>
            </w:r>
          </w:p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Graphics Execution Units</w:t>
            </w:r>
          </w:p>
        </w:tc>
      </w:tr>
      <w:tr w:rsidR="00AB7D40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="00E579D2"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x7-E3950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  <w:lang w:val="it-IT"/>
              </w:rPr>
              <w:t>1.6 / 2.0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B7D40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="00E579D2"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x5-E3940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1.6 / 1.8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B7D40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="00E579D2"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x5-E3930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1.3 / 1.8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61FB5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Pentium® N4200</w:t>
            </w:r>
          </w:p>
        </w:tc>
        <w:tc>
          <w:tcPr>
            <w:tcW w:w="283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1.1 / 2.5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61FB5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b/>
                <w:sz w:val="18"/>
                <w:szCs w:val="18"/>
              </w:rPr>
              <w:t>Intel Celeron® N3350</w:t>
            </w:r>
          </w:p>
        </w:tc>
        <w:tc>
          <w:tcPr>
            <w:tcW w:w="283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1.1 / 2.4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552CC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AB7D40" w:rsidRPr="00AB7D40" w:rsidRDefault="00AB7D40" w:rsidP="00AB7D40">
      <w:pPr>
        <w:spacing w:line="360" w:lineRule="auto"/>
        <w:rPr>
          <w:rFonts w:ascii="Arial" w:hAnsi="Arial" w:cs="Arial"/>
          <w:sz w:val="18"/>
          <w:szCs w:val="18"/>
        </w:rPr>
      </w:pPr>
    </w:p>
    <w:p w:rsidR="002E5FFF" w:rsidRDefault="00552CCE" w:rsidP="002E5FFF">
      <w:pPr>
        <w:spacing w:line="360" w:lineRule="auto"/>
      </w:pPr>
      <w:r w:rsidRPr="00552CCE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3.5인치 하드웨어 규격의 크기가 최적화된 새로운 conga-SMC1/SMARC-x86 SMARC 2.1 캐리어 보드에 대한 자세한 내용은 다음에서 확인할 수 있습니다. </w:t>
      </w:r>
      <w:hyperlink r:id="rId17" w:history="1">
        <w:r w:rsidR="0043273A" w:rsidRPr="00444DBD">
          <w:rPr>
            <w:rStyle w:val="Hyperlink"/>
          </w:rPr>
          <w:t>https://www.congatec.com/ko/products/accessories/conga-smc1smarc-x86/</w:t>
        </w:r>
      </w:hyperlink>
    </w:p>
    <w:p w:rsidR="002E5FFF" w:rsidRPr="00552CCE" w:rsidRDefault="002E5FFF" w:rsidP="00A34D89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108AC" w:rsidRPr="00552CCE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5729F5" w:rsidRPr="0043273A" w:rsidRDefault="005729F5" w:rsidP="005729F5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5729F5" w:rsidRPr="0043273A" w:rsidRDefault="005729F5" w:rsidP="005729F5">
      <w:pPr>
        <w:rPr>
          <w:rFonts w:ascii="Arial" w:eastAsia="Arial" w:hAnsi="Arial" w:cs="Arial"/>
          <w:b/>
          <w:sz w:val="16"/>
          <w:szCs w:val="16"/>
        </w:rPr>
      </w:pPr>
      <w:r w:rsidRPr="0043273A">
        <w:rPr>
          <w:rFonts w:ascii="Arial" w:eastAsia="Arial" w:hAnsi="Arial" w:cs="Arial"/>
          <w:b/>
          <w:sz w:val="16"/>
          <w:szCs w:val="16"/>
        </w:rPr>
        <w:t xml:space="preserve">About congatec </w:t>
      </w:r>
    </w:p>
    <w:p w:rsidR="005729F5" w:rsidRPr="0043273A" w:rsidRDefault="005729F5" w:rsidP="005729F5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  <w:r w:rsidRPr="0043273A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43273A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43273A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43273A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  <w:r w:rsidRPr="0043273A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43273A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43273A">
        <w:rPr>
          <w:rFonts w:ascii="Malgun Gothic" w:eastAsia="Malgun Gothic" w:hAnsi="Malgun Gothic" w:cs="Malgun Gothic"/>
          <w:sz w:val="16"/>
          <w:szCs w:val="16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43273A">
        <w:rPr>
          <w:rFonts w:ascii="Calibri" w:hAnsi="Calibri" w:cs="Calibri"/>
          <w:sz w:val="16"/>
          <w:szCs w:val="16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  <w:r w:rsidRPr="0043273A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43273A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43273A">
        <w:rPr>
          <w:rFonts w:ascii="Calibri" w:hAnsi="Calibri" w:cs="Calibri"/>
          <w:sz w:val="16"/>
          <w:szCs w:val="16"/>
        </w:rPr>
        <w:t xml:space="preserve"> </w:t>
      </w:r>
      <w:hyperlink r:id="rId18" w:history="1">
        <w:r w:rsidRPr="0043273A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43273A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43273A">
        <w:rPr>
          <w:rFonts w:ascii="Calibri" w:hAnsi="Calibri" w:cs="Calibri"/>
          <w:sz w:val="16"/>
          <w:szCs w:val="16"/>
        </w:rPr>
        <w:t xml:space="preserve"> </w:t>
      </w:r>
      <w:hyperlink r:id="rId19" w:history="1">
        <w:r w:rsidRPr="0043273A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43273A">
        <w:rPr>
          <w:rFonts w:ascii="Calibri" w:hAnsi="Calibri" w:cs="Calibri"/>
          <w:sz w:val="16"/>
          <w:szCs w:val="16"/>
        </w:rPr>
        <w:t xml:space="preserve">, </w:t>
      </w:r>
      <w:hyperlink r:id="rId20" w:history="1">
        <w:r w:rsidRPr="0043273A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43273A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43273A">
        <w:rPr>
          <w:rFonts w:ascii="Calibri" w:hAnsi="Calibri" w:cs="Calibri"/>
          <w:sz w:val="16"/>
          <w:szCs w:val="16"/>
        </w:rPr>
        <w:t xml:space="preserve"> </w:t>
      </w:r>
      <w:hyperlink r:id="rId21" w:history="1">
        <w:r w:rsidRPr="0043273A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43273A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43273A">
        <w:rPr>
          <w:rFonts w:ascii="Malgun Gothic" w:eastAsia="Malgun Gothic" w:hAnsi="Malgun Gothic" w:cs="Malgun Gothic" w:hint="cs"/>
          <w:sz w:val="16"/>
          <w:szCs w:val="16"/>
        </w:rPr>
        <w:t>.</w:t>
      </w:r>
      <w:r w:rsidRPr="0043273A"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86013C" w:rsidRPr="0043273A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86013C" w:rsidRPr="0043273A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5C5F96" w:rsidRPr="0043273A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</w:rPr>
      </w:pPr>
    </w:p>
    <w:p w:rsidR="00D108A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5360EA" w:rsidRDefault="00BC4362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 xml:space="preserve">Intel, </w:t>
      </w:r>
      <w:r w:rsidR="00AB7D40">
        <w:rPr>
          <w:rFonts w:ascii="Arial" w:hAnsi="Arial" w:cs="Arial"/>
          <w:i/>
          <w:iCs/>
          <w:sz w:val="18"/>
          <w:szCs w:val="18"/>
          <w:lang w:val="en-US"/>
        </w:rPr>
        <w:t xml:space="preserve">Intel Atom, </w:t>
      </w:r>
      <w:r w:rsidR="00507579">
        <w:rPr>
          <w:rFonts w:ascii="Arial" w:hAnsi="Arial" w:cs="Arial"/>
          <w:i/>
          <w:iCs/>
          <w:sz w:val="18"/>
          <w:szCs w:val="18"/>
          <w:lang w:val="en-US"/>
        </w:rPr>
        <w:t>Celeron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and</w:t>
      </w:r>
      <w:r w:rsidR="0050757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AB7D40">
        <w:rPr>
          <w:rFonts w:ascii="Arial" w:hAnsi="Arial" w:cs="Arial"/>
          <w:i/>
          <w:iCs/>
          <w:sz w:val="18"/>
          <w:szCs w:val="18"/>
          <w:lang w:val="en-US"/>
        </w:rPr>
        <w:t>Pentium</w:t>
      </w:r>
      <w:r w:rsidR="009030AE"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 are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trademarks or </w:t>
      </w:r>
      <w:r w:rsidR="009030AE" w:rsidRPr="005360EA">
        <w:rPr>
          <w:rFonts w:ascii="Arial" w:hAnsi="Arial" w:cs="Arial"/>
          <w:i/>
          <w:iCs/>
          <w:sz w:val="18"/>
          <w:szCs w:val="18"/>
          <w:lang w:val="en-US"/>
        </w:rPr>
        <w:t>registered trademarks of Intel Corporation in the U.S. and other countries.</w:t>
      </w:r>
    </w:p>
    <w:p w:rsidR="009030AE" w:rsidRPr="00D84630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84630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E7" w:rsidRDefault="00596EE7" w:rsidP="00EC733D">
      <w:r>
        <w:separator/>
      </w:r>
    </w:p>
  </w:endnote>
  <w:endnote w:type="continuationSeparator" w:id="0">
    <w:p w:rsidR="00596EE7" w:rsidRDefault="00596EE7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E7" w:rsidRDefault="00596EE7" w:rsidP="00EC733D">
      <w:r>
        <w:separator/>
      </w:r>
    </w:p>
  </w:footnote>
  <w:footnote w:type="continuationSeparator" w:id="0">
    <w:p w:rsidR="00596EE7" w:rsidRDefault="00596EE7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550E"/>
    <w:rsid w:val="00010745"/>
    <w:rsid w:val="0002015A"/>
    <w:rsid w:val="0002219C"/>
    <w:rsid w:val="00023366"/>
    <w:rsid w:val="00030B4D"/>
    <w:rsid w:val="000355AD"/>
    <w:rsid w:val="00042600"/>
    <w:rsid w:val="0004369C"/>
    <w:rsid w:val="00045E58"/>
    <w:rsid w:val="00047E06"/>
    <w:rsid w:val="00052FCD"/>
    <w:rsid w:val="000627FC"/>
    <w:rsid w:val="00062B04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38D4"/>
    <w:rsid w:val="000A4662"/>
    <w:rsid w:val="000A4798"/>
    <w:rsid w:val="000A4D11"/>
    <w:rsid w:val="000A5018"/>
    <w:rsid w:val="000A720B"/>
    <w:rsid w:val="000B5D67"/>
    <w:rsid w:val="000B6F0B"/>
    <w:rsid w:val="000C4D16"/>
    <w:rsid w:val="000D1AF4"/>
    <w:rsid w:val="000D66D4"/>
    <w:rsid w:val="000D68BA"/>
    <w:rsid w:val="000E6F1B"/>
    <w:rsid w:val="000E736A"/>
    <w:rsid w:val="000F34E8"/>
    <w:rsid w:val="00100CE2"/>
    <w:rsid w:val="00105BFE"/>
    <w:rsid w:val="00111110"/>
    <w:rsid w:val="0013122F"/>
    <w:rsid w:val="00135EBC"/>
    <w:rsid w:val="0014653E"/>
    <w:rsid w:val="00157343"/>
    <w:rsid w:val="00165141"/>
    <w:rsid w:val="00175EB3"/>
    <w:rsid w:val="001767F9"/>
    <w:rsid w:val="00181222"/>
    <w:rsid w:val="0018384C"/>
    <w:rsid w:val="00184D6F"/>
    <w:rsid w:val="001854B5"/>
    <w:rsid w:val="001874AE"/>
    <w:rsid w:val="00187AFE"/>
    <w:rsid w:val="00196655"/>
    <w:rsid w:val="001A0816"/>
    <w:rsid w:val="001B05B6"/>
    <w:rsid w:val="001B0700"/>
    <w:rsid w:val="001B6B34"/>
    <w:rsid w:val="001B71A6"/>
    <w:rsid w:val="001C034B"/>
    <w:rsid w:val="001C236A"/>
    <w:rsid w:val="001D055C"/>
    <w:rsid w:val="001D0E64"/>
    <w:rsid w:val="001E1636"/>
    <w:rsid w:val="001E3D01"/>
    <w:rsid w:val="001E4FB1"/>
    <w:rsid w:val="001E642F"/>
    <w:rsid w:val="001F2358"/>
    <w:rsid w:val="0020645E"/>
    <w:rsid w:val="002065F2"/>
    <w:rsid w:val="00212286"/>
    <w:rsid w:val="00213A04"/>
    <w:rsid w:val="00226239"/>
    <w:rsid w:val="00227110"/>
    <w:rsid w:val="002316DC"/>
    <w:rsid w:val="00231F74"/>
    <w:rsid w:val="002368AC"/>
    <w:rsid w:val="002448E8"/>
    <w:rsid w:val="00245B72"/>
    <w:rsid w:val="002571A3"/>
    <w:rsid w:val="00260CB7"/>
    <w:rsid w:val="002622CC"/>
    <w:rsid w:val="00263845"/>
    <w:rsid w:val="00267F9C"/>
    <w:rsid w:val="00275B73"/>
    <w:rsid w:val="00276E2E"/>
    <w:rsid w:val="0028163D"/>
    <w:rsid w:val="00286CC1"/>
    <w:rsid w:val="002872D2"/>
    <w:rsid w:val="00292D50"/>
    <w:rsid w:val="00294891"/>
    <w:rsid w:val="0029557A"/>
    <w:rsid w:val="00297A5C"/>
    <w:rsid w:val="002A7A02"/>
    <w:rsid w:val="002B14DE"/>
    <w:rsid w:val="002C1DB3"/>
    <w:rsid w:val="002C6553"/>
    <w:rsid w:val="002C673C"/>
    <w:rsid w:val="002C7003"/>
    <w:rsid w:val="002C7BBA"/>
    <w:rsid w:val="002D2E57"/>
    <w:rsid w:val="002D3F17"/>
    <w:rsid w:val="002E5FFF"/>
    <w:rsid w:val="002E6EBA"/>
    <w:rsid w:val="002F035E"/>
    <w:rsid w:val="002F16A9"/>
    <w:rsid w:val="002F6233"/>
    <w:rsid w:val="002F6466"/>
    <w:rsid w:val="003008DB"/>
    <w:rsid w:val="00302516"/>
    <w:rsid w:val="00316678"/>
    <w:rsid w:val="00322F5C"/>
    <w:rsid w:val="00324959"/>
    <w:rsid w:val="00334099"/>
    <w:rsid w:val="00336657"/>
    <w:rsid w:val="0034266E"/>
    <w:rsid w:val="003430FB"/>
    <w:rsid w:val="00353C44"/>
    <w:rsid w:val="00360338"/>
    <w:rsid w:val="00362C77"/>
    <w:rsid w:val="00363F05"/>
    <w:rsid w:val="00365D6B"/>
    <w:rsid w:val="003674FC"/>
    <w:rsid w:val="00371CDB"/>
    <w:rsid w:val="00372CDA"/>
    <w:rsid w:val="00373C7F"/>
    <w:rsid w:val="0038470E"/>
    <w:rsid w:val="00386E85"/>
    <w:rsid w:val="003A0171"/>
    <w:rsid w:val="003A0575"/>
    <w:rsid w:val="003A7091"/>
    <w:rsid w:val="003A70E8"/>
    <w:rsid w:val="003B0F26"/>
    <w:rsid w:val="003B7234"/>
    <w:rsid w:val="003B7F15"/>
    <w:rsid w:val="003C34D9"/>
    <w:rsid w:val="003C7333"/>
    <w:rsid w:val="003D5ED4"/>
    <w:rsid w:val="003E397A"/>
    <w:rsid w:val="003E7C17"/>
    <w:rsid w:val="003F00FE"/>
    <w:rsid w:val="003F3610"/>
    <w:rsid w:val="003F7502"/>
    <w:rsid w:val="00400EDF"/>
    <w:rsid w:val="00404136"/>
    <w:rsid w:val="00407812"/>
    <w:rsid w:val="00411AC4"/>
    <w:rsid w:val="00417107"/>
    <w:rsid w:val="00431604"/>
    <w:rsid w:val="0043273A"/>
    <w:rsid w:val="00434994"/>
    <w:rsid w:val="00451C75"/>
    <w:rsid w:val="00460B5E"/>
    <w:rsid w:val="00464E20"/>
    <w:rsid w:val="00470F5E"/>
    <w:rsid w:val="0047330B"/>
    <w:rsid w:val="00475771"/>
    <w:rsid w:val="00485B87"/>
    <w:rsid w:val="004A32EA"/>
    <w:rsid w:val="004A6A8C"/>
    <w:rsid w:val="004B1541"/>
    <w:rsid w:val="004B4B85"/>
    <w:rsid w:val="004B5741"/>
    <w:rsid w:val="004C12DB"/>
    <w:rsid w:val="004C2196"/>
    <w:rsid w:val="004C6B9E"/>
    <w:rsid w:val="004D2177"/>
    <w:rsid w:val="004D6DF7"/>
    <w:rsid w:val="004E3EBE"/>
    <w:rsid w:val="004E6F34"/>
    <w:rsid w:val="004F08CB"/>
    <w:rsid w:val="00507579"/>
    <w:rsid w:val="00514EAF"/>
    <w:rsid w:val="005153ED"/>
    <w:rsid w:val="00524ADE"/>
    <w:rsid w:val="00527922"/>
    <w:rsid w:val="005305DB"/>
    <w:rsid w:val="005332F1"/>
    <w:rsid w:val="005340D2"/>
    <w:rsid w:val="0053585F"/>
    <w:rsid w:val="00537987"/>
    <w:rsid w:val="00540FB1"/>
    <w:rsid w:val="005502A5"/>
    <w:rsid w:val="0055046D"/>
    <w:rsid w:val="00552CCE"/>
    <w:rsid w:val="0055706B"/>
    <w:rsid w:val="00560E0E"/>
    <w:rsid w:val="0057026E"/>
    <w:rsid w:val="005729F5"/>
    <w:rsid w:val="005733AD"/>
    <w:rsid w:val="00573600"/>
    <w:rsid w:val="0057456A"/>
    <w:rsid w:val="0058470E"/>
    <w:rsid w:val="0059615B"/>
    <w:rsid w:val="00596EE7"/>
    <w:rsid w:val="00596F8E"/>
    <w:rsid w:val="005A2788"/>
    <w:rsid w:val="005A795F"/>
    <w:rsid w:val="005A7A3D"/>
    <w:rsid w:val="005B049C"/>
    <w:rsid w:val="005B1C71"/>
    <w:rsid w:val="005B42A4"/>
    <w:rsid w:val="005B5D0D"/>
    <w:rsid w:val="005C3AF6"/>
    <w:rsid w:val="005C5F96"/>
    <w:rsid w:val="005C6F13"/>
    <w:rsid w:val="005D2D52"/>
    <w:rsid w:val="005D52EE"/>
    <w:rsid w:val="005D5454"/>
    <w:rsid w:val="005D554A"/>
    <w:rsid w:val="005E1D4A"/>
    <w:rsid w:val="005E2474"/>
    <w:rsid w:val="005E310F"/>
    <w:rsid w:val="005F0378"/>
    <w:rsid w:val="005F1760"/>
    <w:rsid w:val="005F185A"/>
    <w:rsid w:val="005F5CB1"/>
    <w:rsid w:val="00601EED"/>
    <w:rsid w:val="0060582A"/>
    <w:rsid w:val="006061F7"/>
    <w:rsid w:val="00607FEC"/>
    <w:rsid w:val="00611728"/>
    <w:rsid w:val="006124E2"/>
    <w:rsid w:val="0061327E"/>
    <w:rsid w:val="00623BD6"/>
    <w:rsid w:val="00625E49"/>
    <w:rsid w:val="006269A4"/>
    <w:rsid w:val="00630751"/>
    <w:rsid w:val="006335AB"/>
    <w:rsid w:val="00637CBE"/>
    <w:rsid w:val="00640FFB"/>
    <w:rsid w:val="006424FC"/>
    <w:rsid w:val="00645F91"/>
    <w:rsid w:val="0066211A"/>
    <w:rsid w:val="00667B3E"/>
    <w:rsid w:val="0067240C"/>
    <w:rsid w:val="00677629"/>
    <w:rsid w:val="00681910"/>
    <w:rsid w:val="00684C56"/>
    <w:rsid w:val="00690ECD"/>
    <w:rsid w:val="0069359A"/>
    <w:rsid w:val="006A1254"/>
    <w:rsid w:val="006A3CB0"/>
    <w:rsid w:val="006A6542"/>
    <w:rsid w:val="006B0EE9"/>
    <w:rsid w:val="006B2594"/>
    <w:rsid w:val="006B5551"/>
    <w:rsid w:val="006B7CC7"/>
    <w:rsid w:val="006C30AA"/>
    <w:rsid w:val="006C3B8A"/>
    <w:rsid w:val="006C5AE3"/>
    <w:rsid w:val="006C66A4"/>
    <w:rsid w:val="006D132A"/>
    <w:rsid w:val="006E4456"/>
    <w:rsid w:val="006E730F"/>
    <w:rsid w:val="006E78FC"/>
    <w:rsid w:val="006F45B7"/>
    <w:rsid w:val="006F4CF5"/>
    <w:rsid w:val="006F6952"/>
    <w:rsid w:val="00703F23"/>
    <w:rsid w:val="00706359"/>
    <w:rsid w:val="007074D1"/>
    <w:rsid w:val="00711C0B"/>
    <w:rsid w:val="00712FF0"/>
    <w:rsid w:val="007271BA"/>
    <w:rsid w:val="00735FC8"/>
    <w:rsid w:val="00747135"/>
    <w:rsid w:val="00747A2A"/>
    <w:rsid w:val="00751A5C"/>
    <w:rsid w:val="0075261D"/>
    <w:rsid w:val="00763F4F"/>
    <w:rsid w:val="0076544C"/>
    <w:rsid w:val="00767A44"/>
    <w:rsid w:val="00773CC0"/>
    <w:rsid w:val="00775012"/>
    <w:rsid w:val="0077601C"/>
    <w:rsid w:val="00782E5F"/>
    <w:rsid w:val="00784606"/>
    <w:rsid w:val="00784949"/>
    <w:rsid w:val="0078770A"/>
    <w:rsid w:val="007923DD"/>
    <w:rsid w:val="0079572F"/>
    <w:rsid w:val="007A2A6B"/>
    <w:rsid w:val="007A549D"/>
    <w:rsid w:val="007A680C"/>
    <w:rsid w:val="007A70BB"/>
    <w:rsid w:val="007C06C8"/>
    <w:rsid w:val="007C28DA"/>
    <w:rsid w:val="007C3D97"/>
    <w:rsid w:val="007C4367"/>
    <w:rsid w:val="007D3275"/>
    <w:rsid w:val="007E0AEB"/>
    <w:rsid w:val="007E155C"/>
    <w:rsid w:val="007E2FBF"/>
    <w:rsid w:val="007E4A7A"/>
    <w:rsid w:val="007E752C"/>
    <w:rsid w:val="007E7D91"/>
    <w:rsid w:val="007E7F3E"/>
    <w:rsid w:val="00800AE4"/>
    <w:rsid w:val="00804A72"/>
    <w:rsid w:val="0080538D"/>
    <w:rsid w:val="00805BDC"/>
    <w:rsid w:val="008119CB"/>
    <w:rsid w:val="00811DF8"/>
    <w:rsid w:val="00813D68"/>
    <w:rsid w:val="00815A0F"/>
    <w:rsid w:val="00816E3A"/>
    <w:rsid w:val="00825086"/>
    <w:rsid w:val="00827CD5"/>
    <w:rsid w:val="00830BBF"/>
    <w:rsid w:val="00832012"/>
    <w:rsid w:val="008326A9"/>
    <w:rsid w:val="0083744A"/>
    <w:rsid w:val="008417D5"/>
    <w:rsid w:val="00843FE7"/>
    <w:rsid w:val="00845FF6"/>
    <w:rsid w:val="00846888"/>
    <w:rsid w:val="00850AF3"/>
    <w:rsid w:val="00855286"/>
    <w:rsid w:val="008565F3"/>
    <w:rsid w:val="0086013C"/>
    <w:rsid w:val="00881B43"/>
    <w:rsid w:val="00886219"/>
    <w:rsid w:val="008879DB"/>
    <w:rsid w:val="00892F7D"/>
    <w:rsid w:val="0089371E"/>
    <w:rsid w:val="00893D4C"/>
    <w:rsid w:val="00896530"/>
    <w:rsid w:val="008B45C0"/>
    <w:rsid w:val="008C012F"/>
    <w:rsid w:val="008C0637"/>
    <w:rsid w:val="008C6B40"/>
    <w:rsid w:val="008C7252"/>
    <w:rsid w:val="008C78D7"/>
    <w:rsid w:val="008D24CD"/>
    <w:rsid w:val="008D782E"/>
    <w:rsid w:val="008E5A1D"/>
    <w:rsid w:val="008E6993"/>
    <w:rsid w:val="008E6F06"/>
    <w:rsid w:val="008E7FA2"/>
    <w:rsid w:val="008F122C"/>
    <w:rsid w:val="008F54B5"/>
    <w:rsid w:val="008F5748"/>
    <w:rsid w:val="008F70A2"/>
    <w:rsid w:val="00900764"/>
    <w:rsid w:val="009030AE"/>
    <w:rsid w:val="00904E21"/>
    <w:rsid w:val="00905E4E"/>
    <w:rsid w:val="00906052"/>
    <w:rsid w:val="009064B1"/>
    <w:rsid w:val="00915B34"/>
    <w:rsid w:val="0091691A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37D32"/>
    <w:rsid w:val="00942E41"/>
    <w:rsid w:val="00943C17"/>
    <w:rsid w:val="00944838"/>
    <w:rsid w:val="00946819"/>
    <w:rsid w:val="00952317"/>
    <w:rsid w:val="00955A47"/>
    <w:rsid w:val="00955E11"/>
    <w:rsid w:val="00961278"/>
    <w:rsid w:val="009651A1"/>
    <w:rsid w:val="009671B5"/>
    <w:rsid w:val="009702BE"/>
    <w:rsid w:val="00976F6B"/>
    <w:rsid w:val="00981136"/>
    <w:rsid w:val="0098202A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A7A27"/>
    <w:rsid w:val="009B280B"/>
    <w:rsid w:val="009B5C36"/>
    <w:rsid w:val="009B6700"/>
    <w:rsid w:val="009B7356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A0598E"/>
    <w:rsid w:val="00A171BD"/>
    <w:rsid w:val="00A223D2"/>
    <w:rsid w:val="00A31EE8"/>
    <w:rsid w:val="00A32F2B"/>
    <w:rsid w:val="00A343EC"/>
    <w:rsid w:val="00A348DD"/>
    <w:rsid w:val="00A34D89"/>
    <w:rsid w:val="00A44BD5"/>
    <w:rsid w:val="00A50CC3"/>
    <w:rsid w:val="00A5468F"/>
    <w:rsid w:val="00A54FB5"/>
    <w:rsid w:val="00A60CE6"/>
    <w:rsid w:val="00A61518"/>
    <w:rsid w:val="00A634ED"/>
    <w:rsid w:val="00A64DD1"/>
    <w:rsid w:val="00A67A16"/>
    <w:rsid w:val="00A762A8"/>
    <w:rsid w:val="00A83753"/>
    <w:rsid w:val="00A86883"/>
    <w:rsid w:val="00A965C5"/>
    <w:rsid w:val="00AA03DF"/>
    <w:rsid w:val="00AB3308"/>
    <w:rsid w:val="00AB7D40"/>
    <w:rsid w:val="00AC308A"/>
    <w:rsid w:val="00AD1C03"/>
    <w:rsid w:val="00AD6B52"/>
    <w:rsid w:val="00AD73E9"/>
    <w:rsid w:val="00AE16B7"/>
    <w:rsid w:val="00AE65BD"/>
    <w:rsid w:val="00AF1538"/>
    <w:rsid w:val="00AF2851"/>
    <w:rsid w:val="00B00F59"/>
    <w:rsid w:val="00B0389C"/>
    <w:rsid w:val="00B03ECB"/>
    <w:rsid w:val="00B06971"/>
    <w:rsid w:val="00B1003C"/>
    <w:rsid w:val="00B102F7"/>
    <w:rsid w:val="00B1214C"/>
    <w:rsid w:val="00B14955"/>
    <w:rsid w:val="00B27D66"/>
    <w:rsid w:val="00B3007A"/>
    <w:rsid w:val="00B30AF9"/>
    <w:rsid w:val="00B37B7A"/>
    <w:rsid w:val="00B40849"/>
    <w:rsid w:val="00B515F0"/>
    <w:rsid w:val="00B55520"/>
    <w:rsid w:val="00B5583A"/>
    <w:rsid w:val="00B56D4A"/>
    <w:rsid w:val="00B60538"/>
    <w:rsid w:val="00B621DD"/>
    <w:rsid w:val="00B63058"/>
    <w:rsid w:val="00B65484"/>
    <w:rsid w:val="00B71D51"/>
    <w:rsid w:val="00B743D0"/>
    <w:rsid w:val="00B76850"/>
    <w:rsid w:val="00B77C61"/>
    <w:rsid w:val="00B8272D"/>
    <w:rsid w:val="00B82F46"/>
    <w:rsid w:val="00B86632"/>
    <w:rsid w:val="00B86D2C"/>
    <w:rsid w:val="00B9037D"/>
    <w:rsid w:val="00B910CF"/>
    <w:rsid w:val="00B92911"/>
    <w:rsid w:val="00B93BA5"/>
    <w:rsid w:val="00B94688"/>
    <w:rsid w:val="00B951F8"/>
    <w:rsid w:val="00B96ED0"/>
    <w:rsid w:val="00BA165A"/>
    <w:rsid w:val="00BA5EC5"/>
    <w:rsid w:val="00BA6776"/>
    <w:rsid w:val="00BC209D"/>
    <w:rsid w:val="00BC2F85"/>
    <w:rsid w:val="00BC3787"/>
    <w:rsid w:val="00BC4362"/>
    <w:rsid w:val="00BC5936"/>
    <w:rsid w:val="00BD26D1"/>
    <w:rsid w:val="00BD308B"/>
    <w:rsid w:val="00BD4A92"/>
    <w:rsid w:val="00BD5D20"/>
    <w:rsid w:val="00BE2C60"/>
    <w:rsid w:val="00BE6A4C"/>
    <w:rsid w:val="00BF1A72"/>
    <w:rsid w:val="00BF1AFA"/>
    <w:rsid w:val="00C00161"/>
    <w:rsid w:val="00C02110"/>
    <w:rsid w:val="00C037ED"/>
    <w:rsid w:val="00C0733C"/>
    <w:rsid w:val="00C11322"/>
    <w:rsid w:val="00C1254F"/>
    <w:rsid w:val="00C16073"/>
    <w:rsid w:val="00C23DEB"/>
    <w:rsid w:val="00C25E9F"/>
    <w:rsid w:val="00C3227F"/>
    <w:rsid w:val="00C32CE5"/>
    <w:rsid w:val="00C407F3"/>
    <w:rsid w:val="00C42100"/>
    <w:rsid w:val="00C450CA"/>
    <w:rsid w:val="00C464A1"/>
    <w:rsid w:val="00C52F06"/>
    <w:rsid w:val="00C54A89"/>
    <w:rsid w:val="00C67E97"/>
    <w:rsid w:val="00C7154A"/>
    <w:rsid w:val="00C75423"/>
    <w:rsid w:val="00C80E04"/>
    <w:rsid w:val="00C8480E"/>
    <w:rsid w:val="00C84C8D"/>
    <w:rsid w:val="00C853F8"/>
    <w:rsid w:val="00C87AB3"/>
    <w:rsid w:val="00C9315B"/>
    <w:rsid w:val="00C97A23"/>
    <w:rsid w:val="00CA0D75"/>
    <w:rsid w:val="00CA38C1"/>
    <w:rsid w:val="00CA4A9F"/>
    <w:rsid w:val="00CA5BBA"/>
    <w:rsid w:val="00CB57A0"/>
    <w:rsid w:val="00CC137C"/>
    <w:rsid w:val="00CD19EC"/>
    <w:rsid w:val="00CD443D"/>
    <w:rsid w:val="00CD76F1"/>
    <w:rsid w:val="00CE2C7F"/>
    <w:rsid w:val="00CE3C20"/>
    <w:rsid w:val="00CE47CE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0EA5"/>
    <w:rsid w:val="00D3552F"/>
    <w:rsid w:val="00D36280"/>
    <w:rsid w:val="00D42B76"/>
    <w:rsid w:val="00D4310E"/>
    <w:rsid w:val="00D5329A"/>
    <w:rsid w:val="00D6105D"/>
    <w:rsid w:val="00D6303C"/>
    <w:rsid w:val="00D66622"/>
    <w:rsid w:val="00D73E3A"/>
    <w:rsid w:val="00D75EA8"/>
    <w:rsid w:val="00D77BA4"/>
    <w:rsid w:val="00D84630"/>
    <w:rsid w:val="00D91ECF"/>
    <w:rsid w:val="00D92F7B"/>
    <w:rsid w:val="00DA2F1F"/>
    <w:rsid w:val="00DA57D6"/>
    <w:rsid w:val="00DB7A3D"/>
    <w:rsid w:val="00DC13B8"/>
    <w:rsid w:val="00DC180B"/>
    <w:rsid w:val="00DC22B6"/>
    <w:rsid w:val="00DC3A6C"/>
    <w:rsid w:val="00DC3B55"/>
    <w:rsid w:val="00DD6943"/>
    <w:rsid w:val="00DE13EA"/>
    <w:rsid w:val="00DE14B9"/>
    <w:rsid w:val="00DE150B"/>
    <w:rsid w:val="00DE1A4A"/>
    <w:rsid w:val="00DE2A02"/>
    <w:rsid w:val="00DF642F"/>
    <w:rsid w:val="00E00036"/>
    <w:rsid w:val="00E033AD"/>
    <w:rsid w:val="00E04372"/>
    <w:rsid w:val="00E050BE"/>
    <w:rsid w:val="00E0599D"/>
    <w:rsid w:val="00E06489"/>
    <w:rsid w:val="00E077EE"/>
    <w:rsid w:val="00E10657"/>
    <w:rsid w:val="00E3293E"/>
    <w:rsid w:val="00E529F9"/>
    <w:rsid w:val="00E5322D"/>
    <w:rsid w:val="00E579D2"/>
    <w:rsid w:val="00E66919"/>
    <w:rsid w:val="00E8535F"/>
    <w:rsid w:val="00E860D1"/>
    <w:rsid w:val="00E87622"/>
    <w:rsid w:val="00E94B78"/>
    <w:rsid w:val="00EA0E59"/>
    <w:rsid w:val="00EA1192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0EF9"/>
    <w:rsid w:val="00EF3A56"/>
    <w:rsid w:val="00EF41F5"/>
    <w:rsid w:val="00F004E8"/>
    <w:rsid w:val="00F008CF"/>
    <w:rsid w:val="00F014BE"/>
    <w:rsid w:val="00F022C8"/>
    <w:rsid w:val="00F0237C"/>
    <w:rsid w:val="00F0689D"/>
    <w:rsid w:val="00F074A1"/>
    <w:rsid w:val="00F168F1"/>
    <w:rsid w:val="00F22653"/>
    <w:rsid w:val="00F23EC1"/>
    <w:rsid w:val="00F2409C"/>
    <w:rsid w:val="00F30BF4"/>
    <w:rsid w:val="00F425CD"/>
    <w:rsid w:val="00F44AF6"/>
    <w:rsid w:val="00F453DD"/>
    <w:rsid w:val="00F45C3B"/>
    <w:rsid w:val="00F4736C"/>
    <w:rsid w:val="00F47FDE"/>
    <w:rsid w:val="00F50196"/>
    <w:rsid w:val="00F61FB5"/>
    <w:rsid w:val="00F64431"/>
    <w:rsid w:val="00F64F3F"/>
    <w:rsid w:val="00F703D5"/>
    <w:rsid w:val="00F72B0F"/>
    <w:rsid w:val="00F76360"/>
    <w:rsid w:val="00F76707"/>
    <w:rsid w:val="00F80D86"/>
    <w:rsid w:val="00F81856"/>
    <w:rsid w:val="00F82E06"/>
    <w:rsid w:val="00F84D0F"/>
    <w:rsid w:val="00F96573"/>
    <w:rsid w:val="00FA1722"/>
    <w:rsid w:val="00FA21C9"/>
    <w:rsid w:val="00FA3174"/>
    <w:rsid w:val="00FA33B5"/>
    <w:rsid w:val="00FA47D7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BBC9"/>
  <w15:docId w15:val="{F7073CE4-CB77-4C56-A4D8-94E4B5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24E2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24E2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www.congatec.kr" TargetMode="External"/><Relationship Id="rId17" Type="http://schemas.openxmlformats.org/officeDocument/2006/relationships/hyperlink" Target="https://www.congatec.com/ko/products/accessories/conga-smc1smarc-x8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ko/congatec/press-releases/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kr-sales@congatec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86661E-4268-453A-B7A4-A1234D15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2020-02-17T08:14:00Z</cp:lastPrinted>
  <dcterms:created xsi:type="dcterms:W3CDTF">2020-06-01T08:51:00Z</dcterms:created>
  <dcterms:modified xsi:type="dcterms:W3CDTF">2020-06-01T09:04:00Z</dcterms:modified>
</cp:coreProperties>
</file>