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Luc </w:t>
            </w:r>
            <w:proofErr w:type="spellStart"/>
            <w:r w:rsidRPr="00EE168D">
              <w:rPr>
                <w:rFonts w:ascii="Arial" w:hAnsi="Arial" w:cs="Arial"/>
                <w:sz w:val="18"/>
                <w:szCs w:val="18"/>
              </w:rPr>
              <w:t>Beugin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7D21E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7D21E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7D21E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7D21E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EE168D" w:rsidRDefault="006B69BF" w:rsidP="00940AFB">
      <w:pPr>
        <w:jc w:val="right"/>
        <w:rPr>
          <w:rFonts w:ascii="Arial" w:hAnsi="Arial" w:cs="Arial"/>
        </w:rPr>
      </w:pPr>
    </w:p>
    <w:p w:rsidR="00573E84" w:rsidRPr="00C675C2" w:rsidRDefault="00615E87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kern w:val="1"/>
          <w:sz w:val="16"/>
          <w:szCs w:val="16"/>
          <w:lang w:eastAsia="de-DE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41.85pt;height:94.55pt">
            <v:imagedata r:id="rId10" o:title="conga-smc1x86"/>
          </v:shape>
        </w:pict>
      </w: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383C39" w:rsidRPr="000A0C09" w:rsidRDefault="00383C39" w:rsidP="00383C39">
      <w:pPr>
        <w:jc w:val="center"/>
        <w:rPr>
          <w:rFonts w:ascii="Arial" w:hAnsi="Arial" w:cs="Arial"/>
        </w:rPr>
      </w:pPr>
    </w:p>
    <w:p w:rsidR="00383C39" w:rsidRPr="000A0C09" w:rsidRDefault="00383C39" w:rsidP="00383C39">
      <w:pPr>
        <w:jc w:val="center"/>
        <w:rPr>
          <w:rFonts w:ascii="Arial" w:hAnsi="Arial" w:cs="Arial"/>
        </w:rPr>
      </w:pPr>
      <w:r w:rsidRPr="000A0C09">
        <w:rPr>
          <w:rFonts w:ascii="Arial" w:hAnsi="Arial" w:cs="Arial"/>
        </w:rPr>
        <w:t>Cette carte porteuse congatec SMARC 2.0</w:t>
      </w:r>
      <w:r w:rsidRPr="005C4F2C">
        <w:t xml:space="preserve"> </w:t>
      </w:r>
      <w:r w:rsidRPr="005C4F2C">
        <w:rPr>
          <w:rFonts w:ascii="Arial" w:hAnsi="Arial" w:cs="Arial"/>
        </w:rPr>
        <w:t>de</w:t>
      </w:r>
      <w:r w:rsidRPr="005C4F2C">
        <w:t xml:space="preserve"> </w:t>
      </w:r>
      <w:r w:rsidRPr="000A0C09">
        <w:rPr>
          <w:rFonts w:ascii="Arial" w:hAnsi="Arial" w:cs="Arial"/>
        </w:rPr>
        <w:t xml:space="preserve">taille optimisée rend modulaires les cartes SBC 3,5 pouces à base de processeur Intel </w:t>
      </w:r>
      <w:proofErr w:type="spellStart"/>
      <w:r w:rsidRPr="000A0C09">
        <w:rPr>
          <w:rFonts w:ascii="Arial" w:hAnsi="Arial" w:cs="Arial"/>
        </w:rPr>
        <w:t>Atom</w:t>
      </w:r>
      <w:proofErr w:type="spellEnd"/>
      <w:r w:rsidRPr="000A0C09">
        <w:rPr>
          <w:rFonts w:ascii="Arial" w:hAnsi="Arial" w:cs="Arial"/>
        </w:rPr>
        <w:t xml:space="preserve">® </w:t>
      </w:r>
    </w:p>
    <w:p w:rsidR="00383C39" w:rsidRPr="00F7077F" w:rsidRDefault="00383C39" w:rsidP="00F7077F">
      <w:pPr>
        <w:jc w:val="center"/>
        <w:rPr>
          <w:rFonts w:ascii="Arial" w:hAnsi="Arial" w:cs="Arial"/>
        </w:rPr>
      </w:pPr>
    </w:p>
    <w:p w:rsidR="00383C39" w:rsidRPr="00C675C2" w:rsidRDefault="00383C39" w:rsidP="00383C39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675C2">
        <w:rPr>
          <w:rFonts w:ascii="Arial" w:hAnsi="Arial" w:cs="Arial"/>
          <w:b/>
          <w:sz w:val="32"/>
          <w:szCs w:val="32"/>
        </w:rPr>
        <w:t>Combo congatec COM/porteuse prêt à l’emploi</w:t>
      </w:r>
    </w:p>
    <w:p w:rsidR="00383C39" w:rsidRPr="00C675C2" w:rsidRDefault="00383C39" w:rsidP="00383C3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383C39" w:rsidRPr="005C4F2C" w:rsidRDefault="000A0C09" w:rsidP="00383C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C675C2">
        <w:rPr>
          <w:rFonts w:ascii="Arial" w:hAnsi="Arial" w:cs="Arial"/>
          <w:b/>
          <w:bCs/>
          <w:sz w:val="22"/>
          <w:szCs w:val="22"/>
        </w:rPr>
        <w:t>Deggendorf</w:t>
      </w:r>
      <w:proofErr w:type="spellEnd"/>
      <w:r w:rsidRPr="00C675C2">
        <w:rPr>
          <w:rFonts w:ascii="Arial" w:hAnsi="Arial" w:cs="Arial"/>
          <w:b/>
          <w:bCs/>
          <w:sz w:val="22"/>
          <w:szCs w:val="22"/>
        </w:rPr>
        <w:t>, Allemagne, 28</w:t>
      </w:r>
      <w:r w:rsidR="00383C39" w:rsidRPr="00C675C2">
        <w:rPr>
          <w:rFonts w:ascii="Arial" w:hAnsi="Arial" w:cs="Arial"/>
          <w:b/>
          <w:bCs/>
          <w:sz w:val="22"/>
          <w:szCs w:val="22"/>
        </w:rPr>
        <w:t xml:space="preserve"> mai 2020</w:t>
      </w:r>
      <w:r w:rsidR="00383C39" w:rsidRPr="00C675C2">
        <w:rPr>
          <w:rFonts w:ascii="Arial" w:hAnsi="Arial" w:cs="Arial"/>
          <w:sz w:val="22"/>
          <w:szCs w:val="22"/>
        </w:rPr>
        <w:t xml:space="preserve"> * * * congatec - un des principaux fournisseurs de technologie informatique embarquée - annonce sa toute nouvelle carte porteuse conga SMC1/SMARC-x86 de 3,5 pouces. La nouvelle carte porteuse SMARC 2.1 3,5 pouces est prête à l'emploi et peut être déployée en petites et moyennes séries en combinaison avec n'importe quel module SMARC de congatec disponible à ce jour.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Conçue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rendre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SBC 3,5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modulaires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elle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optimisée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Intel Atom®, Celeron® et Pentium® Gen 5 (nom de code Apollo Lake)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ainsi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pour les futures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générations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de x86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basse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consommation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. Son emplacement pour les modules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SMARC 2.1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offre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une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évolutivité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indépendante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connecteur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processeur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proofErr w:type="gramStart"/>
      <w:r w:rsidR="00383C39" w:rsidRPr="005C4F2C">
        <w:rPr>
          <w:rFonts w:ascii="Arial" w:hAnsi="Arial" w:cs="Arial"/>
          <w:sz w:val="22"/>
          <w:szCs w:val="22"/>
          <w:lang w:val="en-US"/>
        </w:rPr>
        <w:t>ce</w:t>
      </w:r>
      <w:proofErr w:type="spellEnd"/>
      <w:proofErr w:type="gram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qui rend les solutions OEM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très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flexibles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disponibles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le long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terme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. Avec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moins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de couches, la conception du circuit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imprimé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de la carte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porteuse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3</w:t>
      </w:r>
      <w:proofErr w:type="gramStart"/>
      <w:r w:rsidR="00383C39" w:rsidRPr="005C4F2C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moins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complexe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moins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coûteuse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qu'une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conception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entièrement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personnalisée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. </w:t>
      </w:r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Un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autre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avantage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gramStart"/>
      <w:r w:rsidR="00383C39" w:rsidRPr="00383C39">
        <w:rPr>
          <w:rFonts w:ascii="Arial" w:hAnsi="Arial" w:cs="Arial"/>
          <w:sz w:val="22"/>
          <w:szCs w:val="22"/>
          <w:lang w:val="it-IT"/>
        </w:rPr>
        <w:t>la</w:t>
      </w:r>
      <w:proofErr w:type="gram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carte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porteuse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est la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capacité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à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mettre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œuvre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rapidement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personnalisations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, ce qui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garantit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une grande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efficacité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de la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conception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sur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mesure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: L'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ajout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ou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la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suppression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interfaces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spécifiques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est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assez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rapide pour un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meilleur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délai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commercialisation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comparativement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simple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économique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et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proposé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à partir de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lots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d'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environ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500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cartes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par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an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. Pour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les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projets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à gros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volumes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ultra-efficaces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, la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fusion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du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combo congatec COM/carte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t>porteuse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est une </w:t>
      </w:r>
      <w:proofErr w:type="spellStart"/>
      <w:r w:rsidR="00383C39" w:rsidRPr="00383C39">
        <w:rPr>
          <w:rFonts w:ascii="Arial" w:hAnsi="Arial" w:cs="Arial"/>
          <w:sz w:val="22"/>
          <w:szCs w:val="22"/>
          <w:lang w:val="it-IT"/>
        </w:rPr>
        <w:lastRenderedPageBreak/>
        <w:t>option</w:t>
      </w:r>
      <w:proofErr w:type="spellEnd"/>
      <w:r w:rsidR="00383C39" w:rsidRPr="00383C39">
        <w:rPr>
          <w:rFonts w:ascii="Arial" w:hAnsi="Arial" w:cs="Arial"/>
          <w:sz w:val="22"/>
          <w:szCs w:val="22"/>
          <w:lang w:val="it-IT"/>
        </w:rPr>
        <w:t xml:space="preserve"> intéressante. </w:t>
      </w:r>
      <w:proofErr w:type="gramStart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Les clients du module SMARC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peuvent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même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accéder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gratuitement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aux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schémas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de la carte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porteuse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tant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support pour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leurs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propres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conceptions de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383C39" w:rsidRPr="005C4F2C">
        <w:rPr>
          <w:rFonts w:ascii="Arial" w:hAnsi="Arial" w:cs="Arial"/>
          <w:sz w:val="22"/>
          <w:szCs w:val="22"/>
          <w:lang w:val="en-US"/>
        </w:rPr>
        <w:t>porteuses</w:t>
      </w:r>
      <w:proofErr w:type="spellEnd"/>
      <w:r w:rsidR="00383C39" w:rsidRPr="005C4F2C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383C39" w:rsidRPr="005C4F2C" w:rsidRDefault="00383C39" w:rsidP="00383C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83C39" w:rsidRPr="005C4F2C" w:rsidRDefault="00383C39" w:rsidP="00383C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4F2C">
        <w:rPr>
          <w:rFonts w:ascii="Arial" w:hAnsi="Arial" w:cs="Arial"/>
          <w:sz w:val="22"/>
          <w:szCs w:val="22"/>
          <w:lang w:val="en-US"/>
        </w:rPr>
        <w:t xml:space="preserve">"Les Computer-on-Modules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sont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capables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d'apporter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modularité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l'ensemble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du monde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embarqué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industriel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C4F2C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IdO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carte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porteuse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SMARC 2.0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optimisée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taille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et au format 3</w:t>
      </w:r>
      <w:proofErr w:type="gramStart"/>
      <w:r w:rsidRPr="005C4F2C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n'est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le point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départ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notre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feuille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route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projets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visant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rendre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l'informatique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embarquée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encore plus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modulaire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. Avec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nos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partenaires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concepteurs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porteuses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divers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secteurs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, nous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pouvons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offrir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avantages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considérables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à tout format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embarqué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standard, avec la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possibilité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bousculer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fournisseurs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établis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marchés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tels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mères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et les SBC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embarquées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serveurs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périphérie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et les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dorsaux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modulaires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tels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CompactPCI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Serial, PXI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ou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VME/VPX",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explique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Martin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chez congatec.</w:t>
      </w:r>
    </w:p>
    <w:p w:rsidR="00383C39" w:rsidRPr="005C4F2C" w:rsidRDefault="00383C39" w:rsidP="00383C3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383C39" w:rsidRPr="007D3154" w:rsidRDefault="00383C39" w:rsidP="00383C3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it-IT"/>
        </w:rPr>
      </w:pPr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La nouvelle conga-SMC1/SMARC-x86 se distingue par son codec audio </w:t>
      </w:r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son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implémentation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USB-C qui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spécifiquement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optimisée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Intel Atom.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Elle </w:t>
      </w:r>
      <w:proofErr w:type="spellStart"/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outre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optimisé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caméras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MIPI, qui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désormais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connectées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directement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sans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matériel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supplémentaire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Grâce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deux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connecteurs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MIPI-CSI 2.0, </w:t>
      </w:r>
      <w:proofErr w:type="spellStart"/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il</w:t>
      </w:r>
      <w:proofErr w:type="spellEnd"/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même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possible de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développer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fournissent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vision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tridimensionnelle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donc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utilisés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connaissance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situation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véhicules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autonomes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Combinée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la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prise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charge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intégrée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l'intelligence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artificielle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réseaux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neuronaux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plate-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forme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standard COTS (Commercial Off The Shelf)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tout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dont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développeurs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besoin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vision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intelligents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Un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support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logiciel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complet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binaires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>précompilés</w:t>
      </w:r>
      <w:proofErr w:type="spell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complète</w:t>
      </w:r>
      <w:proofErr w:type="gramEnd"/>
      <w:r w:rsidRPr="007D3154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la nouvelle offre COTS.</w:t>
      </w:r>
    </w:p>
    <w:p w:rsidR="00383C39" w:rsidRPr="007D3154" w:rsidRDefault="00383C39" w:rsidP="00383C39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</w:pPr>
    </w:p>
    <w:p w:rsidR="00383C39" w:rsidRPr="00C675C2" w:rsidRDefault="00383C39" w:rsidP="00383C39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</w:pPr>
      <w:r w:rsidRPr="00C675C2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 xml:space="preserve">L'ensemble des </w:t>
      </w:r>
      <w:proofErr w:type="spellStart"/>
      <w:r w:rsidRPr="00C675C2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>caractéristiques</w:t>
      </w:r>
      <w:proofErr w:type="spellEnd"/>
      <w:r w:rsidRPr="00C675C2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 xml:space="preserve"> en </w:t>
      </w:r>
      <w:proofErr w:type="spellStart"/>
      <w:r w:rsidRPr="00C675C2">
        <w:rPr>
          <w:rStyle w:val="Kommentarzeichen1"/>
          <w:rFonts w:ascii="Arial" w:hAnsi="Arial" w:cs="Arial"/>
          <w:b/>
          <w:bCs/>
          <w:sz w:val="22"/>
          <w:szCs w:val="22"/>
          <w:lang w:val="it-IT"/>
        </w:rPr>
        <w:t>détail</w:t>
      </w:r>
      <w:proofErr w:type="spellEnd"/>
    </w:p>
    <w:p w:rsidR="00383C39" w:rsidRPr="005C4F2C" w:rsidRDefault="00383C39" w:rsidP="00383C3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La nouvelle carte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porteuse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conga-SMC1/SMARC-x86 SMARC 2.0,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optimisée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taille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au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format 3,5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pouces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est évolutive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sur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toute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la</w:t>
      </w:r>
      <w:proofErr w:type="gram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gamme des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processeurs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Intel Apollo Lake, des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processeurs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Intel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Atom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® (E3950, E3940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E3930)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aux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processeurs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Celeron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® (N3350) </w:t>
      </w:r>
      <w:proofErr w:type="spellStart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C675C2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Pentium® (N4200). </w:t>
      </w:r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Sur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surface de 146 x 102 mm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la conga-SMC1/SMARC-x86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double GbE, 5 USB et un support de hub USB et SATA 3 pour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disques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durs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externes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ou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SSD. Pour les extensions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personnalisées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la carte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miniPCIe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qu'un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M.2 Type E E2230 avec I2S, PCIe et USB, et un emplacement M.2 Type B B2242/2280 avec 2x PCIe et 1x USB. </w:t>
      </w:r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MicroSim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intégré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connexion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IoT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prévu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à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côté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d'interfaces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embarquées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spécifiques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telles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4x UART, 2x CAN, 8x GPIO, I2C et SPI. 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écrans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connectés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via HDMI, LVDS/eDP/DP </w:t>
      </w:r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MIPI-DSI. </w:t>
      </w:r>
      <w:proofErr w:type="gram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La</w:t>
      </w:r>
      <w:proofErr w:type="gram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carte offre en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outre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deux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entrées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MIPI-CSI pour la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connexion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caméras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. Le son I2S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peut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être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mis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en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œuvre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via une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prise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audio. </w:t>
      </w:r>
      <w:proofErr w:type="gram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La</w:t>
      </w:r>
      <w:proofErr w:type="gram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carte est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fournie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un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support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complet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l'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hyperviseur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Windows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RTS. Pour la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communauté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open source, congatec propose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également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des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binaires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précompilés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avec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un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chargeur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démarrage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configuré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manière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appropriée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des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images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Linux, Yocto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et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Android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compilées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manière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appropriée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ainsi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que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tous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pilotes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nécessaires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qui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sont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disponibles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pour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les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clients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de congatec </w:t>
      </w:r>
      <w:proofErr w:type="spellStart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>sur</w:t>
      </w:r>
      <w:proofErr w:type="spellEnd"/>
      <w:r w:rsidRPr="00456243">
        <w:rPr>
          <w:rStyle w:val="Kommentarzeichen1"/>
          <w:rFonts w:ascii="Arial" w:hAnsi="Arial" w:cs="Arial"/>
          <w:sz w:val="22"/>
          <w:szCs w:val="22"/>
          <w:lang w:val="it-IT"/>
        </w:rPr>
        <w:t xml:space="preserve"> GitHub. </w:t>
      </w:r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Les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porteuses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disponibles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configurations Computer-on-Module SMARC </w:t>
      </w:r>
      <w:proofErr w:type="spellStart"/>
      <w:proofErr w:type="gramStart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>suivantes</w:t>
      </w:r>
      <w:proofErr w:type="spellEnd"/>
      <w:r w:rsidRPr="005C4F2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:</w:t>
      </w:r>
      <w:proofErr w:type="gramEnd"/>
    </w:p>
    <w:p w:rsidR="00383C39" w:rsidRPr="005C4F2C" w:rsidRDefault="00383C39" w:rsidP="00383C39">
      <w:pPr>
        <w:suppressAutoHyphens w:val="0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383C39" w:rsidRPr="005C4F2C" w:rsidRDefault="00383C39" w:rsidP="00383C39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tbl>
      <w:tblPr>
        <w:tblW w:w="8962" w:type="dxa"/>
        <w:tblLayout w:type="fixed"/>
        <w:tblLook w:val="04A0"/>
      </w:tblPr>
      <w:tblGrid>
        <w:gridCol w:w="2235"/>
        <w:gridCol w:w="283"/>
        <w:gridCol w:w="794"/>
        <w:gridCol w:w="236"/>
        <w:gridCol w:w="1304"/>
        <w:gridCol w:w="236"/>
        <w:gridCol w:w="1134"/>
        <w:gridCol w:w="236"/>
        <w:gridCol w:w="1134"/>
        <w:gridCol w:w="236"/>
        <w:gridCol w:w="1134"/>
      </w:tblGrid>
      <w:tr w:rsidR="00383C39" w:rsidRPr="005C4F2C" w:rsidTr="003D63DC">
        <w:trPr>
          <w:trHeight w:val="761"/>
        </w:trPr>
        <w:tc>
          <w:tcPr>
            <w:tcW w:w="2235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</w:pPr>
            <w:proofErr w:type="spellStart"/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val="en-US" w:eastAsia="de-DE"/>
              </w:rPr>
              <w:t>Processeur</w:t>
            </w:r>
            <w:proofErr w:type="spellEnd"/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proofErr w:type="spellStart"/>
            <w:r w:rsidRPr="005C4F2C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Coeurs</w:t>
            </w:r>
            <w:proofErr w:type="spellEnd"/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Intel® Smart Cache [MB]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Clock/ </w:t>
            </w:r>
            <w:proofErr w:type="spellStart"/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Burst</w:t>
            </w:r>
            <w:proofErr w:type="spellEnd"/>
          </w:p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[GHz]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</w:pPr>
            <w:r w:rsidRPr="005C4F2C">
              <w:rPr>
                <w:rFonts w:ascii="Arial" w:hAnsi="Arial" w:cs="Arial"/>
                <w:b/>
                <w:bCs/>
                <w:sz w:val="16"/>
                <w:szCs w:val="16"/>
                <w:lang w:eastAsia="de-DE"/>
              </w:rPr>
              <w:t>Unités d’exécution graphiques</w:t>
            </w:r>
          </w:p>
        </w:tc>
      </w:tr>
      <w:tr w:rsidR="00383C39" w:rsidRPr="005C4F2C" w:rsidTr="007D3154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Intel </w:t>
            </w:r>
            <w:proofErr w:type="spellStart"/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Atom</w:t>
            </w:r>
            <w:proofErr w:type="spellEnd"/>
            <w:r w:rsidRPr="005C4F2C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 x7-E3950</w:t>
            </w:r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C4F2C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C4F2C">
              <w:rPr>
                <w:rFonts w:ascii="Arial" w:hAnsi="Arial" w:cs="Arial"/>
                <w:sz w:val="18"/>
                <w:szCs w:val="18"/>
                <w:lang w:val="it-IT"/>
              </w:rPr>
              <w:t>1.6 / 2.0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83C39" w:rsidRPr="005C4F2C" w:rsidTr="007D3154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Intel </w:t>
            </w:r>
            <w:proofErr w:type="spellStart"/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Atom</w:t>
            </w:r>
            <w:proofErr w:type="spellEnd"/>
            <w:r w:rsidRPr="005C4F2C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 x5-E3940</w:t>
            </w:r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1.6 / 1.8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83C39" w:rsidRPr="005C4F2C" w:rsidTr="007D3154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Intel </w:t>
            </w:r>
            <w:proofErr w:type="spellStart"/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Atom</w:t>
            </w:r>
            <w:proofErr w:type="spellEnd"/>
            <w:r w:rsidRPr="005C4F2C">
              <w:rPr>
                <w:rFonts w:ascii="Arial" w:hAnsi="Arial" w:cs="Arial"/>
                <w:b/>
                <w:sz w:val="18"/>
                <w:szCs w:val="18"/>
              </w:rPr>
              <w:t>®</w:t>
            </w: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 xml:space="preserve"> x5-E3930</w:t>
            </w:r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1.3 / 1.8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383C39" w:rsidRPr="005C4F2C" w:rsidTr="007D3154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C4F2C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Intel Pentium® N4200</w:t>
            </w:r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1.1 / 2.5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83C39" w:rsidRPr="005C4F2C" w:rsidTr="007D3154">
        <w:tc>
          <w:tcPr>
            <w:tcW w:w="22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5C4F2C">
              <w:rPr>
                <w:rFonts w:ascii="Arial" w:hAnsi="Arial" w:cs="Arial"/>
                <w:b/>
                <w:sz w:val="18"/>
                <w:szCs w:val="18"/>
              </w:rPr>
              <w:t xml:space="preserve">Intel </w:t>
            </w:r>
            <w:proofErr w:type="spellStart"/>
            <w:r w:rsidRPr="005C4F2C">
              <w:rPr>
                <w:rFonts w:ascii="Arial" w:hAnsi="Arial" w:cs="Arial"/>
                <w:b/>
                <w:sz w:val="18"/>
                <w:szCs w:val="18"/>
              </w:rPr>
              <w:t>Celeron</w:t>
            </w:r>
            <w:proofErr w:type="spellEnd"/>
            <w:r w:rsidRPr="005C4F2C">
              <w:rPr>
                <w:rFonts w:ascii="Arial" w:hAnsi="Arial" w:cs="Arial"/>
                <w:b/>
                <w:sz w:val="18"/>
                <w:szCs w:val="18"/>
              </w:rPr>
              <w:t>® N3350</w:t>
            </w:r>
          </w:p>
        </w:tc>
        <w:tc>
          <w:tcPr>
            <w:tcW w:w="283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1.1 / 2.4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" w:type="dxa"/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83C39" w:rsidRPr="005C4F2C" w:rsidRDefault="00383C39" w:rsidP="00C20C0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4F2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:rsidR="00383C39" w:rsidRPr="005C4F2C" w:rsidRDefault="00383C39" w:rsidP="00383C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383C39" w:rsidRPr="003C3824" w:rsidRDefault="00383C39" w:rsidP="00383C3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5C4F2C">
        <w:rPr>
          <w:rFonts w:ascii="Arial" w:hAnsi="Arial" w:cs="Arial"/>
          <w:sz w:val="22"/>
          <w:szCs w:val="22"/>
          <w:lang w:val="en-US"/>
        </w:rPr>
        <w:t xml:space="preserve">Plus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d’infos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la nouvelle carte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porteuse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conga-SMC1/SMARC-x86 SMARC 2.0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optimisée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taille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et au format 3</w:t>
      </w:r>
      <w:proofErr w:type="gramStart"/>
      <w:r w:rsidRPr="005C4F2C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Pr="005C4F2C">
        <w:rPr>
          <w:rFonts w:ascii="Arial" w:hAnsi="Arial" w:cs="Arial"/>
          <w:sz w:val="22"/>
          <w:szCs w:val="22"/>
          <w:lang w:val="en-US"/>
        </w:rPr>
        <w:t xml:space="preserve">” </w:t>
      </w:r>
      <w:proofErr w:type="spellStart"/>
      <w:r w:rsidRPr="005C4F2C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5C4F2C">
        <w:rPr>
          <w:rFonts w:ascii="Arial" w:hAnsi="Arial" w:cs="Arial"/>
          <w:sz w:val="22"/>
          <w:szCs w:val="22"/>
          <w:lang w:val="en-US"/>
        </w:rPr>
        <w:t xml:space="preserve"> : </w:t>
      </w:r>
      <w:hyperlink r:id="rId12" w:history="1">
        <w:r w:rsidR="004578AE" w:rsidRPr="002A2A1A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https://www.congatec.com/fr/produits/accessoires/conga-smc1smarc-x86/</w:t>
        </w:r>
      </w:hyperlink>
      <w:r w:rsidR="004578AE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24FBE" w:rsidRPr="00383C39" w:rsidRDefault="00224FBE" w:rsidP="0043675A">
      <w:pPr>
        <w:spacing w:before="240" w:line="276" w:lineRule="auto"/>
        <w:rPr>
          <w:rFonts w:ascii="Arial" w:hAnsi="Arial" w:cs="Arial"/>
          <w:sz w:val="16"/>
          <w:szCs w:val="16"/>
          <w:lang w:val="en-US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</w:t>
      </w:r>
      <w:proofErr w:type="spellStart"/>
      <w:r w:rsidRPr="000D5448">
        <w:rPr>
          <w:rFonts w:ascii="Arial" w:hAnsi="Arial" w:cs="Arial"/>
          <w:sz w:val="16"/>
          <w:szCs w:val="16"/>
        </w:rPr>
        <w:t>clientele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composée de </w:t>
      </w:r>
      <w:proofErr w:type="spellStart"/>
      <w:r w:rsidRPr="000D5448">
        <w:rPr>
          <w:rFonts w:ascii="Arial" w:hAnsi="Arial" w:cs="Arial"/>
          <w:sz w:val="16"/>
          <w:szCs w:val="16"/>
        </w:rPr>
        <w:t>start-ups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comme de grandes entreprises internationales. Fondée en 2004 et basée à </w:t>
      </w:r>
      <w:proofErr w:type="spellStart"/>
      <w:r w:rsidRPr="000D5448">
        <w:rPr>
          <w:rFonts w:ascii="Arial" w:hAnsi="Arial" w:cs="Arial"/>
          <w:sz w:val="16"/>
          <w:szCs w:val="16"/>
        </w:rPr>
        <w:t>Deggendorf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, en Allemagne, la société a réalisé un chiffre d'affaires de </w:t>
      </w:r>
      <w:r w:rsidR="005919A2">
        <w:rPr>
          <w:rFonts w:ascii="Arial" w:hAnsi="Arial" w:cs="Arial"/>
          <w:sz w:val="16"/>
          <w:szCs w:val="16"/>
        </w:rPr>
        <w:t>126</w:t>
      </w:r>
      <w:r w:rsidRPr="000D5448">
        <w:rPr>
          <w:rFonts w:ascii="Arial" w:hAnsi="Arial" w:cs="Arial"/>
          <w:sz w:val="16"/>
          <w:szCs w:val="16"/>
        </w:rPr>
        <w:t xml:space="preserve"> millions de dollars US en </w:t>
      </w:r>
      <w:r w:rsidR="00486774">
        <w:rPr>
          <w:rFonts w:ascii="Arial" w:hAnsi="Arial" w:cs="Arial"/>
          <w:sz w:val="16"/>
          <w:szCs w:val="16"/>
        </w:rPr>
        <w:t>2019</w:t>
      </w:r>
      <w:r w:rsidRPr="000D5448">
        <w:rPr>
          <w:rFonts w:ascii="Arial" w:hAnsi="Arial" w:cs="Arial"/>
          <w:sz w:val="16"/>
          <w:szCs w:val="16"/>
        </w:rPr>
        <w:t xml:space="preserve">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3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4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5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6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Pr="00EE168D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C72A61" w:rsidRPr="00EE168D" w:rsidRDefault="00C72A61" w:rsidP="00C72A6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  <w:r w:rsidRPr="00EE168D">
        <w:rPr>
          <w:rFonts w:ascii="Arial" w:hAnsi="Arial" w:cs="Arial"/>
          <w:i/>
          <w:sz w:val="18"/>
        </w:rPr>
        <w:t xml:space="preserve">Intel et Intel </w:t>
      </w:r>
      <w:proofErr w:type="spellStart"/>
      <w:r w:rsidRPr="00EE168D">
        <w:rPr>
          <w:rFonts w:ascii="Arial" w:hAnsi="Arial" w:cs="Arial"/>
          <w:i/>
          <w:sz w:val="18"/>
        </w:rPr>
        <w:t>Atom</w:t>
      </w:r>
      <w:proofErr w:type="spellEnd"/>
      <w:r w:rsidR="009E784E">
        <w:rPr>
          <w:rFonts w:ascii="Arial" w:hAnsi="Arial" w:cs="Arial"/>
          <w:i/>
          <w:sz w:val="18"/>
        </w:rPr>
        <w:t xml:space="preserve">, Pentium et </w:t>
      </w:r>
      <w:proofErr w:type="spellStart"/>
      <w:r w:rsidR="009E784E">
        <w:rPr>
          <w:rFonts w:ascii="Arial" w:hAnsi="Arial" w:cs="Arial"/>
          <w:i/>
          <w:sz w:val="18"/>
        </w:rPr>
        <w:t>Celeron</w:t>
      </w:r>
      <w:proofErr w:type="spellEnd"/>
      <w:r w:rsidRPr="00EE168D">
        <w:rPr>
          <w:rFonts w:ascii="Arial" w:hAnsi="Arial" w:cs="Arial"/>
          <w:i/>
          <w:sz w:val="18"/>
        </w:rPr>
        <w:t xml:space="preserve"> sont des marques enregistrées d’Intel Corporation aux Etats-Unis et dans d’autres pays.</w:t>
      </w:r>
    </w:p>
    <w:p w:rsidR="003E417C" w:rsidRPr="00EE168D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3E417C" w:rsidRPr="00EE16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0C09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65A2"/>
    <w:rsid w:val="00287416"/>
    <w:rsid w:val="00287EDF"/>
    <w:rsid w:val="002907A0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3C39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63DC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578AE"/>
    <w:rsid w:val="00471579"/>
    <w:rsid w:val="0048255A"/>
    <w:rsid w:val="00484457"/>
    <w:rsid w:val="00486774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2421A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3E84"/>
    <w:rsid w:val="0057426E"/>
    <w:rsid w:val="00577B2F"/>
    <w:rsid w:val="00590CEA"/>
    <w:rsid w:val="005919A2"/>
    <w:rsid w:val="005A7982"/>
    <w:rsid w:val="005A7D2D"/>
    <w:rsid w:val="005B0B52"/>
    <w:rsid w:val="005B1BB1"/>
    <w:rsid w:val="005B3F2F"/>
    <w:rsid w:val="005B4C13"/>
    <w:rsid w:val="005B54A1"/>
    <w:rsid w:val="005C1BE0"/>
    <w:rsid w:val="005D7A74"/>
    <w:rsid w:val="005E6EA6"/>
    <w:rsid w:val="005F2DC8"/>
    <w:rsid w:val="005F6BB0"/>
    <w:rsid w:val="005F7AC3"/>
    <w:rsid w:val="00600205"/>
    <w:rsid w:val="00615E87"/>
    <w:rsid w:val="006164DC"/>
    <w:rsid w:val="00626B80"/>
    <w:rsid w:val="00630402"/>
    <w:rsid w:val="00647114"/>
    <w:rsid w:val="006471D7"/>
    <w:rsid w:val="00650B4C"/>
    <w:rsid w:val="00651A85"/>
    <w:rsid w:val="00652D78"/>
    <w:rsid w:val="00673197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663A8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C13B6"/>
    <w:rsid w:val="007C46EA"/>
    <w:rsid w:val="007C625E"/>
    <w:rsid w:val="007D1FC9"/>
    <w:rsid w:val="007D21E7"/>
    <w:rsid w:val="007D3154"/>
    <w:rsid w:val="007D5937"/>
    <w:rsid w:val="007E3A04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E08"/>
    <w:rsid w:val="008B303E"/>
    <w:rsid w:val="008C0281"/>
    <w:rsid w:val="008D76BE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3A96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E784E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33DAD"/>
    <w:rsid w:val="00A37986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5D1A"/>
    <w:rsid w:val="00A864E8"/>
    <w:rsid w:val="00A87E65"/>
    <w:rsid w:val="00A9501C"/>
    <w:rsid w:val="00A95535"/>
    <w:rsid w:val="00A959E6"/>
    <w:rsid w:val="00A95C74"/>
    <w:rsid w:val="00A97035"/>
    <w:rsid w:val="00AA14BF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675C2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5159"/>
    <w:rsid w:val="00CE6F15"/>
    <w:rsid w:val="00D001AF"/>
    <w:rsid w:val="00D06819"/>
    <w:rsid w:val="00D14D32"/>
    <w:rsid w:val="00D17950"/>
    <w:rsid w:val="00D238BF"/>
    <w:rsid w:val="00D24DB6"/>
    <w:rsid w:val="00D326E0"/>
    <w:rsid w:val="00D3464E"/>
    <w:rsid w:val="00D35D22"/>
    <w:rsid w:val="00D37FB3"/>
    <w:rsid w:val="00D4355E"/>
    <w:rsid w:val="00D552E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4E38"/>
    <w:rsid w:val="00DF645D"/>
    <w:rsid w:val="00DF7450"/>
    <w:rsid w:val="00DF79C0"/>
    <w:rsid w:val="00E10FA4"/>
    <w:rsid w:val="00E129BE"/>
    <w:rsid w:val="00E13D3C"/>
    <w:rsid w:val="00E16E7F"/>
    <w:rsid w:val="00E228B5"/>
    <w:rsid w:val="00E245AF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7077F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://www.congate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www.congatec.com/fr/produits/accessoires/conga-smc1smarc-x8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7376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24</cp:revision>
  <cp:lastPrinted>2014-01-29T21:42:00Z</cp:lastPrinted>
  <dcterms:created xsi:type="dcterms:W3CDTF">2019-09-09T09:58:00Z</dcterms:created>
  <dcterms:modified xsi:type="dcterms:W3CDTF">2020-05-28T07:39:00Z</dcterms:modified>
</cp:coreProperties>
</file>