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D22615"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D22615"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D22615"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D22615"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874B6F" w:rsidRDefault="00874B6F" w:rsidP="00874B6F">
      <w:pPr>
        <w:spacing w:after="120"/>
        <w:rPr>
          <w:rFonts w:ascii="Arial" w:hAnsi="Arial" w:cs="Arial"/>
          <w:i/>
          <w:noProof/>
          <w:sz w:val="16"/>
          <w:szCs w:val="16"/>
          <w:lang w:eastAsia="de-DE"/>
        </w:rPr>
      </w:pPr>
      <w:r>
        <w:rPr>
          <w:rFonts w:ascii="Arial" w:hAnsi="Arial" w:cs="Arial"/>
          <w:noProof/>
          <w:lang w:val="de-DE" w:eastAsia="de-DE" w:bidi="ar-SA"/>
        </w:rPr>
        <w:drawing>
          <wp:inline distT="0" distB="0" distL="0" distR="0">
            <wp:extent cx="1295400" cy="937311"/>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A5_press new small.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4993" cy="937016"/>
                    </a:xfrm>
                    <a:prstGeom prst="rect">
                      <a:avLst/>
                    </a:prstGeom>
                  </pic:spPr>
                </pic:pic>
              </a:graphicData>
            </a:graphic>
          </wp:inline>
        </w:drawing>
      </w:r>
    </w:p>
    <w:p w:rsidR="00874B6F" w:rsidRPr="002B57DE" w:rsidRDefault="00874B6F" w:rsidP="00874B6F">
      <w:pPr>
        <w:spacing w:after="120"/>
        <w:jc w:val="both"/>
        <w:rPr>
          <w:rFonts w:ascii="Arial" w:hAnsi="Arial" w:cs="Arial"/>
          <w:i/>
          <w:noProof/>
          <w:sz w:val="16"/>
          <w:szCs w:val="16"/>
          <w:lang w:eastAsia="de-DE"/>
        </w:rPr>
      </w:pPr>
      <w:r w:rsidRPr="002B57DE">
        <w:rPr>
          <w:rFonts w:ascii="Arial" w:hAnsi="Arial" w:cs="Arial"/>
          <w:i/>
          <w:noProof/>
          <w:sz w:val="16"/>
          <w:szCs w:val="16"/>
          <w:lang w:eastAsia="de-DE"/>
        </w:rPr>
        <w:t>Le nouveau module conga-SA5 SMARC 2.0 prend en charge USB-C pour installer davantage d’interfaces standards</w:t>
      </w:r>
    </w:p>
    <w:p w:rsidR="000D2B6F" w:rsidRDefault="000D2B6F" w:rsidP="005F7AC3">
      <w:pPr>
        <w:spacing w:after="120"/>
        <w:rPr>
          <w:rFonts w:ascii="Arial" w:hAnsi="Arial" w:cs="Arial"/>
          <w:i/>
          <w:noProof/>
          <w:kern w:val="1"/>
          <w:sz w:val="16"/>
          <w:szCs w:val="16"/>
          <w:lang w:eastAsia="de-DE"/>
        </w:rPr>
      </w:pP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1" w:history="1">
        <w:r w:rsidR="00F35675" w:rsidRPr="00EE168D">
          <w:rPr>
            <w:rStyle w:val="Hyperlink"/>
            <w:rFonts w:ascii="Arial" w:hAnsi="Arial" w:cs="Arial"/>
            <w:i/>
            <w:noProof/>
            <w:kern w:val="1"/>
            <w:sz w:val="16"/>
            <w:szCs w:val="16"/>
            <w:lang w:eastAsia="de-DE"/>
          </w:rPr>
          <w:t>http://www.congatec.com/press</w:t>
        </w:r>
      </w:hyperlink>
      <w:r w:rsidR="00F35675" w:rsidRPr="00EE168D">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874B6F" w:rsidRDefault="001905A2" w:rsidP="008A325F">
      <w:pPr>
        <w:widowControl w:val="0"/>
        <w:rPr>
          <w:rFonts w:ascii="Arial" w:hAnsi="Arial" w:cs="Arial"/>
          <w:b/>
          <w:bCs/>
          <w:u w:val="single"/>
        </w:rPr>
      </w:pPr>
      <w:r w:rsidRPr="00874B6F">
        <w:rPr>
          <w:rFonts w:ascii="Arial" w:hAnsi="Arial" w:cs="Arial"/>
          <w:b/>
          <w:bCs/>
          <w:u w:val="single"/>
        </w:rPr>
        <w:t>Communiqué de presse</w:t>
      </w:r>
    </w:p>
    <w:p w:rsidR="008A325F" w:rsidRPr="00874B6F" w:rsidRDefault="008A325F" w:rsidP="008A325F">
      <w:pPr>
        <w:widowControl w:val="0"/>
        <w:rPr>
          <w:rFonts w:ascii="Arial" w:hAnsi="Arial" w:cs="Arial"/>
          <w:b/>
          <w:bCs/>
          <w:u w:val="single"/>
        </w:rPr>
      </w:pPr>
    </w:p>
    <w:p w:rsidR="000D2B6F" w:rsidRPr="002B57DE" w:rsidRDefault="000D2B6F" w:rsidP="000D2B6F">
      <w:pPr>
        <w:jc w:val="center"/>
        <w:rPr>
          <w:rFonts w:ascii="Arial" w:hAnsi="Arial" w:cs="Arial"/>
          <w:bCs/>
          <w:sz w:val="22"/>
          <w:szCs w:val="22"/>
        </w:rPr>
      </w:pPr>
      <w:r w:rsidRPr="002B57DE">
        <w:rPr>
          <w:rFonts w:ascii="Arial" w:hAnsi="Arial" w:cs="Arial"/>
          <w:bCs/>
          <w:sz w:val="22"/>
          <w:szCs w:val="22"/>
        </w:rPr>
        <w:t>Les nouveaux modules congatec SMARC 2.0 prennent en charge l’USB-C</w:t>
      </w:r>
    </w:p>
    <w:p w:rsidR="000D2B6F" w:rsidRPr="002B57DE" w:rsidRDefault="000D2B6F" w:rsidP="000D2B6F">
      <w:pPr>
        <w:jc w:val="both"/>
        <w:rPr>
          <w:rFonts w:ascii="Arial" w:hAnsi="Arial" w:cs="Arial"/>
          <w:b/>
          <w:bCs/>
        </w:rPr>
      </w:pPr>
    </w:p>
    <w:p w:rsidR="000D2B6F" w:rsidRPr="002B57DE" w:rsidRDefault="000D2B6F" w:rsidP="000D2B6F">
      <w:pPr>
        <w:spacing w:line="360" w:lineRule="auto"/>
        <w:jc w:val="center"/>
        <w:rPr>
          <w:rFonts w:ascii="Arial" w:hAnsi="Arial" w:cs="Arial"/>
          <w:b/>
          <w:bCs/>
          <w:sz w:val="28"/>
          <w:szCs w:val="28"/>
        </w:rPr>
      </w:pPr>
      <w:r w:rsidRPr="002B57DE">
        <w:rPr>
          <w:rFonts w:ascii="Arial" w:hAnsi="Arial" w:cs="Arial"/>
          <w:b/>
          <w:bCs/>
          <w:sz w:val="28"/>
          <w:szCs w:val="28"/>
        </w:rPr>
        <w:t>congatec pousse la standardisation d’interfaces SMARC 2.0</w:t>
      </w:r>
    </w:p>
    <w:p w:rsidR="000D2B6F" w:rsidRPr="002B57DE" w:rsidRDefault="000D2B6F" w:rsidP="000D2B6F">
      <w:pPr>
        <w:pStyle w:val="Standard1"/>
        <w:jc w:val="both"/>
        <w:rPr>
          <w:rFonts w:ascii="Arial" w:hAnsi="Arial" w:cs="Arial"/>
          <w:b/>
        </w:rPr>
      </w:pPr>
    </w:p>
    <w:p w:rsidR="000D2B6F" w:rsidRPr="002B57DE" w:rsidRDefault="000D2B6F" w:rsidP="0057758A">
      <w:pPr>
        <w:spacing w:line="360" w:lineRule="auto"/>
        <w:rPr>
          <w:rStyle w:val="Kommentarzeichen1"/>
          <w:rFonts w:ascii="Arial" w:hAnsi="Arial" w:cs="Arial"/>
          <w:sz w:val="22"/>
          <w:szCs w:val="22"/>
        </w:rPr>
      </w:pPr>
      <w:r w:rsidRPr="002B57DE">
        <w:rPr>
          <w:rStyle w:val="Kommentarzeichen1"/>
          <w:rFonts w:ascii="Arial" w:hAnsi="Arial" w:cs="Arial"/>
          <w:b/>
          <w:sz w:val="22"/>
          <w:szCs w:val="22"/>
        </w:rPr>
        <w:t>Deggendorf/Nuremberg, Allemagne, 14 mars 2017</w:t>
      </w:r>
      <w:r w:rsidRPr="002B57DE">
        <w:rPr>
          <w:rStyle w:val="Kommentarzeichen1"/>
          <w:rFonts w:ascii="Arial" w:hAnsi="Arial" w:cs="Arial"/>
          <w:sz w:val="22"/>
          <w:szCs w:val="22"/>
        </w:rPr>
        <w:t xml:space="preserve"> * * * congatec -  </w:t>
      </w:r>
      <w:r w:rsidRPr="002B57DE">
        <w:rPr>
          <w:rFonts w:ascii="Arial" w:hAnsi="Arial" w:cs="Arial"/>
          <w:sz w:val="22"/>
          <w:szCs w:val="22"/>
        </w:rPr>
        <w:t xml:space="preserve">acteur de premier plan dans le domaine des modules processeurs embarqués, des cartes SBC et des services EDM – </w:t>
      </w:r>
      <w:r w:rsidRPr="002B57DE">
        <w:rPr>
          <w:rStyle w:val="Kommentarzeichen1"/>
          <w:rFonts w:ascii="Arial" w:hAnsi="Arial" w:cs="Arial"/>
          <w:sz w:val="22"/>
          <w:szCs w:val="22"/>
        </w:rPr>
        <w:t>présente ses nouveaux modules SMARC 2.0 prenant en charge les connexions USB-C puissantes à Embedded World (hall 1, stand 358). L’utilisation de la spécification USB-C rend l’interconnexion USB plus universelle et standardise l’interface avec les appareils embarqués SMARC 2.0. Les concepteurs de systèmes peuvent utiliser l’USB-C avec des périphériques de USB 3.1 à USB 1.0 et, c’est tout nouveau, pour connecter les écrans voire l’alimentation électrique au système ou aux périphériques, ce qui réduit le câblage à un seul câble. De plus, le débit actuel des données de 5 Gigabits/s en phase avec la spécification USB 3.1 sert de turbocompresseur pour les applications manipulant intensivement des données. Equipées de processeurs Intel</w:t>
      </w:r>
      <w:r w:rsidRPr="0057758A">
        <w:rPr>
          <w:rFonts w:ascii="Arial" w:hAnsi="Arial" w:cs="Arial"/>
          <w:sz w:val="22"/>
          <w:szCs w:val="22"/>
          <w:vertAlign w:val="superscript"/>
        </w:rPr>
        <w:t>®</w:t>
      </w:r>
      <w:r w:rsidRPr="002B57DE">
        <w:rPr>
          <w:rFonts w:ascii="Arial" w:hAnsi="Arial" w:cs="Arial"/>
          <w:sz w:val="22"/>
          <w:szCs w:val="22"/>
        </w:rPr>
        <w:t xml:space="preserve"> </w:t>
      </w:r>
      <w:r w:rsidRPr="002B57DE">
        <w:rPr>
          <w:rStyle w:val="Kommentarzeichen1"/>
          <w:rFonts w:ascii="Arial" w:hAnsi="Arial" w:cs="Arial"/>
          <w:sz w:val="22"/>
          <w:szCs w:val="22"/>
        </w:rPr>
        <w:t>Atom, Celeron® ou Pentium</w:t>
      </w:r>
      <w:r w:rsidRPr="0057758A">
        <w:rPr>
          <w:rFonts w:ascii="Arial" w:hAnsi="Arial" w:cs="Arial"/>
          <w:sz w:val="22"/>
          <w:szCs w:val="22"/>
          <w:vertAlign w:val="superscript"/>
        </w:rPr>
        <w:t>®</w:t>
      </w:r>
      <w:r w:rsidRPr="002B57DE">
        <w:rPr>
          <w:rStyle w:val="Kommentarzeichen1"/>
          <w:rFonts w:ascii="Arial" w:hAnsi="Arial" w:cs="Arial"/>
          <w:sz w:val="22"/>
          <w:szCs w:val="22"/>
        </w:rPr>
        <w:t xml:space="preserve"> (nom de code Apollo Lake), les applications-types pour les projets SMARC 2.0 sont les appareils de poche et mobiles, les appareils embarqués en automobile et les systèmes IoT et embarqués fixes avec des exigences de faible consommation et de hautes performances.</w:t>
      </w:r>
    </w:p>
    <w:p w:rsidR="000D2B6F" w:rsidRPr="0057758A" w:rsidRDefault="000D2B6F" w:rsidP="0057758A">
      <w:pPr>
        <w:spacing w:line="360" w:lineRule="auto"/>
        <w:rPr>
          <w:rStyle w:val="Kommentarzeichen1"/>
          <w:rFonts w:ascii="Arial" w:hAnsi="Arial" w:cs="Arial"/>
          <w:sz w:val="22"/>
          <w:szCs w:val="22"/>
        </w:rPr>
      </w:pPr>
    </w:p>
    <w:p w:rsidR="000D2B6F" w:rsidRPr="002B57DE" w:rsidRDefault="000D2B6F" w:rsidP="0057758A">
      <w:pPr>
        <w:spacing w:line="360" w:lineRule="auto"/>
        <w:rPr>
          <w:rStyle w:val="Kommentarzeichen1"/>
          <w:rFonts w:ascii="Arial" w:hAnsi="Arial" w:cs="Arial"/>
          <w:sz w:val="22"/>
          <w:szCs w:val="22"/>
        </w:rPr>
      </w:pPr>
      <w:r w:rsidRPr="002B57DE">
        <w:rPr>
          <w:rStyle w:val="Kommentarzeichen1"/>
          <w:rFonts w:ascii="Arial" w:hAnsi="Arial" w:cs="Arial"/>
          <w:sz w:val="22"/>
          <w:szCs w:val="22"/>
        </w:rPr>
        <w:t xml:space="preserve">“En présentant cette fonctionnalité sous forme de plug&amp;play universel, congatec simplifie considérablement l’utilisation de la technologie embarquée. Les prises USB-C sont encore rares et elles représentent une véritable percée dans la standardisation du monde fragmenté </w:t>
      </w:r>
      <w:r w:rsidRPr="002B57DE">
        <w:rPr>
          <w:rStyle w:val="Kommentarzeichen1"/>
          <w:rFonts w:ascii="Arial" w:hAnsi="Arial" w:cs="Arial"/>
          <w:sz w:val="22"/>
          <w:szCs w:val="22"/>
        </w:rPr>
        <w:lastRenderedPageBreak/>
        <w:t>des interconnexions de câbles externes. Une telle standardisation est très bénéfique aux ingénieurs systèmes ainsi qu’aux intégrateurs, administrateurs et utilisateurs. Les ingénieurs n’ont plus à s’occuper de l’installation de l’interface. Ils n’ont même pas besoin de se préoccuper du nombre de périphériques USB-C à interconnecter et concevoir dans les interfaces USB-C. Et les intégrateurs peuvent brancher leurs périphériques USB-C dans n’importe quelle prise USB de la carte et ça marche. N’est-ce pas merveilleux ? Nous savons que nous ne sommes qu’au début de cette évolution et que la disponibilité totale des prises USB-C n’est encore qu’un souhait aujourd’hui, mais on peut imaginer avec quelle facilité les spécifications des systèmes se feront une fois cette transition achevée !”, explique Martin Danzer, directeur des produits de congatec.</w:t>
      </w:r>
    </w:p>
    <w:p w:rsidR="000D2B6F" w:rsidRPr="0057758A" w:rsidRDefault="000D2B6F" w:rsidP="0057758A">
      <w:pPr>
        <w:spacing w:line="360" w:lineRule="auto"/>
        <w:rPr>
          <w:rStyle w:val="Kommentarzeichen1"/>
          <w:rFonts w:ascii="Arial" w:hAnsi="Arial" w:cs="Arial"/>
          <w:sz w:val="22"/>
          <w:szCs w:val="22"/>
        </w:rPr>
      </w:pPr>
    </w:p>
    <w:p w:rsidR="000D2B6F" w:rsidRPr="002B57DE" w:rsidRDefault="000D2B6F" w:rsidP="0057758A">
      <w:pPr>
        <w:spacing w:line="360" w:lineRule="auto"/>
        <w:rPr>
          <w:rStyle w:val="Kommentarzeichen1"/>
          <w:rFonts w:ascii="Arial" w:hAnsi="Arial" w:cs="Arial"/>
          <w:sz w:val="22"/>
          <w:szCs w:val="22"/>
        </w:rPr>
      </w:pPr>
      <w:r w:rsidRPr="002B57DE">
        <w:rPr>
          <w:rStyle w:val="Kommentarzeichen1"/>
          <w:rFonts w:ascii="Arial" w:hAnsi="Arial" w:cs="Arial"/>
          <w:sz w:val="22"/>
          <w:szCs w:val="22"/>
        </w:rPr>
        <w:t>Cet exemple de mise en pratique des fonctions USB-C sera en démonstration sur les modules SMARC 2.0 de congatec équipés des nouveaux processeurs Intel</w:t>
      </w:r>
      <w:r w:rsidRPr="0057758A">
        <w:rPr>
          <w:rStyle w:val="Kommentarzeichen1"/>
          <w:rFonts w:ascii="Arial" w:hAnsi="Arial" w:cs="Arial"/>
          <w:sz w:val="22"/>
          <w:szCs w:val="22"/>
          <w:vertAlign w:val="superscript"/>
        </w:rPr>
        <w:t>®</w:t>
      </w:r>
      <w:r w:rsidRPr="002B57DE">
        <w:rPr>
          <w:rStyle w:val="Kommentarzeichen1"/>
          <w:rFonts w:ascii="Arial" w:hAnsi="Arial" w:cs="Arial"/>
          <w:sz w:val="22"/>
          <w:szCs w:val="22"/>
        </w:rPr>
        <w:t xml:space="preserve"> Atom, Celeron® et Pentium® avec une carte porteuse équipée d’une prise USB-C pour montrer les nouvelles capacités d’alimentation électrique et l’intégration de l’écran.</w:t>
      </w:r>
    </w:p>
    <w:p w:rsidR="000D2B6F" w:rsidRPr="0057758A" w:rsidRDefault="000D2B6F" w:rsidP="0057758A">
      <w:pPr>
        <w:spacing w:line="360" w:lineRule="auto"/>
        <w:rPr>
          <w:rStyle w:val="Kommentarzeichen1"/>
          <w:rFonts w:ascii="Arial" w:hAnsi="Arial" w:cs="Arial"/>
          <w:b/>
          <w:sz w:val="22"/>
          <w:szCs w:val="22"/>
        </w:rPr>
      </w:pPr>
    </w:p>
    <w:p w:rsidR="000D2B6F" w:rsidRPr="002B57DE" w:rsidRDefault="000D2B6F" w:rsidP="0057758A">
      <w:pPr>
        <w:spacing w:line="360" w:lineRule="auto"/>
        <w:rPr>
          <w:rStyle w:val="Kommentarzeichen1"/>
          <w:rFonts w:ascii="Arial" w:hAnsi="Arial" w:cs="Arial"/>
          <w:b/>
          <w:sz w:val="22"/>
          <w:szCs w:val="22"/>
        </w:rPr>
      </w:pPr>
      <w:r w:rsidRPr="002B57DE">
        <w:rPr>
          <w:rStyle w:val="Kommentarzeichen1"/>
          <w:rFonts w:ascii="Arial" w:hAnsi="Arial" w:cs="Arial"/>
          <w:b/>
          <w:sz w:val="22"/>
          <w:szCs w:val="22"/>
        </w:rPr>
        <w:t>Les fonctionnalités en détail</w:t>
      </w:r>
    </w:p>
    <w:p w:rsidR="000D2B6F" w:rsidRPr="002B57DE" w:rsidRDefault="000D2B6F" w:rsidP="0057758A">
      <w:pPr>
        <w:spacing w:line="360" w:lineRule="auto"/>
        <w:rPr>
          <w:rStyle w:val="Kommentarzeichen1"/>
          <w:rFonts w:ascii="Arial" w:hAnsi="Arial" w:cs="Arial"/>
          <w:sz w:val="22"/>
          <w:szCs w:val="22"/>
        </w:rPr>
      </w:pPr>
      <w:r w:rsidRPr="002B57DE">
        <w:rPr>
          <w:rStyle w:val="Kommentarzeichen1"/>
          <w:rFonts w:ascii="Arial" w:hAnsi="Arial" w:cs="Arial"/>
          <w:sz w:val="22"/>
          <w:szCs w:val="22"/>
        </w:rPr>
        <w:t xml:space="preserve">congatec commence par la mise en œuvre l’USB-C sur son nouveau Computer-on-Module SMARC 2.0 conga-SA5 et sa nouvelle carte porteuse d’évaluation conga-SEVAL. L’ensemble des fonctionnalités USB-C comprend la prise en charge d’USB 2.0, USB 3.1 Gen 1 avec des débits allant jusqu’à 5 Gigabits/s et les modes alternatifs pour Display Port 1.2 (DP-Alt) et USB Power Delivery (USB-PD) supportant une enveloppe de puissance jusqu’à 100 W. Tous les signaux sont simultanément présents au niveau du connecteur symétrique femelle USB-C avec des broches de 24 signaux. Pour les modes d’alimentation, la solution prend en charge tous les modes USB-PC comme spécifié par le Forum USB-IF (Universal Serial Bus Implementers Forum). Outre le mode USB 3.0 à 5 V et 1,5 A, il peut fournir d’autres voltages de 12 et 15 V avec un courant maximum de 3 A et également 20 V avec un courant maximum de 5 A. Grâce à cela, l’USB-C devient également une alimentation standard unifiée à la fois pour les périphériques et les systèmes. Les OEM et les développeurs peuvent utiliser le nouveau module SMARC et la carte porteuse de congatec comme solution de conception prête à l’emploi pour une évaluation de cette technologie. Pour simplifier davantage le développement de projets USB-C spécifiques, congatec propose également des diagrammes de circuits sur demande pour les OEM uniquement. Autre alternative : les OEM peuvent s’appuyer sur les services EDM de congatec pour concevoir leur solution spécifique afin de réduire les efforts de développement en interne et le délai de mise sur le marché des produits. De plus, congatec travaille à la mise en place de l’USB-C sur ses Computer-on-Modules Qseven et COM Express pour </w:t>
      </w:r>
      <w:r w:rsidRPr="002B57DE">
        <w:rPr>
          <w:rStyle w:val="Kommentarzeichen1"/>
          <w:rFonts w:ascii="Arial" w:hAnsi="Arial" w:cs="Arial"/>
          <w:sz w:val="22"/>
          <w:szCs w:val="22"/>
        </w:rPr>
        <w:lastRenderedPageBreak/>
        <w:t xml:space="preserve">optimiser les connexions USB avec des débits allant jusqu’à 40 Gigabit/s via Thunderbolt 3 pour des designs COM Express Type 6 puissants. </w:t>
      </w:r>
    </w:p>
    <w:p w:rsidR="000D2B6F" w:rsidRPr="000D2B6F" w:rsidRDefault="000D2B6F" w:rsidP="0057758A">
      <w:pPr>
        <w:spacing w:line="360" w:lineRule="auto"/>
        <w:rPr>
          <w:rFonts w:ascii="Arial" w:hAnsi="Arial" w:cs="Arial"/>
          <w:sz w:val="22"/>
          <w:szCs w:val="22"/>
        </w:rPr>
      </w:pPr>
    </w:p>
    <w:p w:rsidR="000D2B6F" w:rsidRPr="002B57DE" w:rsidRDefault="000D2B6F" w:rsidP="0057758A">
      <w:pPr>
        <w:spacing w:line="360" w:lineRule="auto"/>
        <w:rPr>
          <w:rFonts w:ascii="Arial" w:hAnsi="Arial" w:cs="Arial"/>
          <w:sz w:val="22"/>
          <w:szCs w:val="22"/>
        </w:rPr>
      </w:pPr>
      <w:r w:rsidRPr="002B57DE">
        <w:rPr>
          <w:rFonts w:ascii="Arial" w:hAnsi="Arial" w:cs="Arial"/>
          <w:sz w:val="22"/>
          <w:szCs w:val="22"/>
        </w:rPr>
        <w:t>Le nouveau conga-SA5 USB-C est disponible selon les configurations suivantes :</w:t>
      </w:r>
    </w:p>
    <w:p w:rsidR="000D2B6F" w:rsidRPr="002B57DE" w:rsidRDefault="000D2B6F" w:rsidP="000D2B6F">
      <w:pPr>
        <w:spacing w:line="360" w:lineRule="auto"/>
        <w:jc w:val="both"/>
        <w:rPr>
          <w:rFonts w:ascii="Arial" w:hAnsi="Arial" w:cs="Arial"/>
          <w:sz w:val="22"/>
          <w:szCs w:val="22"/>
        </w:rPr>
      </w:pPr>
    </w:p>
    <w:tbl>
      <w:tblPr>
        <w:tblW w:w="9038" w:type="dxa"/>
        <w:tblLayout w:type="fixed"/>
        <w:tblLook w:val="04A0"/>
      </w:tblPr>
      <w:tblGrid>
        <w:gridCol w:w="2235"/>
        <w:gridCol w:w="283"/>
        <w:gridCol w:w="851"/>
        <w:gridCol w:w="283"/>
        <w:gridCol w:w="1276"/>
        <w:gridCol w:w="236"/>
        <w:gridCol w:w="1134"/>
        <w:gridCol w:w="236"/>
        <w:gridCol w:w="1134"/>
        <w:gridCol w:w="236"/>
        <w:gridCol w:w="1134"/>
      </w:tblGrid>
      <w:tr w:rsidR="000D2B6F" w:rsidRPr="002B57DE" w:rsidTr="00B31EEF">
        <w:tc>
          <w:tcPr>
            <w:tcW w:w="2235" w:type="dxa"/>
            <w:tcBorders>
              <w:bottom w:val="single" w:sz="8" w:space="0" w:color="auto"/>
            </w:tcBorders>
            <w:vAlign w:val="center"/>
          </w:tcPr>
          <w:p w:rsidR="000D2B6F" w:rsidRPr="002B57DE" w:rsidRDefault="000D2B6F" w:rsidP="00B31EEF">
            <w:pPr>
              <w:jc w:val="both"/>
              <w:rPr>
                <w:rFonts w:ascii="Arial" w:hAnsi="Arial" w:cs="Arial"/>
                <w:b/>
                <w:bCs/>
                <w:sz w:val="18"/>
                <w:szCs w:val="18"/>
                <w:lang w:eastAsia="de-DE"/>
              </w:rPr>
            </w:pPr>
            <w:r w:rsidRPr="002B57DE">
              <w:rPr>
                <w:rFonts w:ascii="Arial" w:hAnsi="Arial" w:cs="Arial"/>
                <w:b/>
                <w:bCs/>
                <w:sz w:val="18"/>
                <w:szCs w:val="18"/>
                <w:lang w:eastAsia="de-DE"/>
              </w:rPr>
              <w:t>Processeur</w:t>
            </w:r>
          </w:p>
        </w:tc>
        <w:tc>
          <w:tcPr>
            <w:tcW w:w="283" w:type="dxa"/>
            <w:vAlign w:val="center"/>
          </w:tcPr>
          <w:p w:rsidR="000D2B6F" w:rsidRPr="002B57DE" w:rsidRDefault="000D2B6F" w:rsidP="00B31EEF">
            <w:pPr>
              <w:jc w:val="both"/>
              <w:rPr>
                <w:rFonts w:ascii="Arial" w:hAnsi="Arial" w:cs="Arial"/>
                <w:b/>
                <w:bCs/>
                <w:sz w:val="18"/>
                <w:szCs w:val="18"/>
                <w:lang w:eastAsia="de-DE"/>
              </w:rPr>
            </w:pPr>
          </w:p>
        </w:tc>
        <w:tc>
          <w:tcPr>
            <w:tcW w:w="851" w:type="dxa"/>
            <w:tcBorders>
              <w:bottom w:val="single" w:sz="8" w:space="0" w:color="auto"/>
            </w:tcBorders>
            <w:vAlign w:val="center"/>
          </w:tcPr>
          <w:p w:rsidR="000D2B6F" w:rsidRPr="002B57DE" w:rsidRDefault="000D2B6F" w:rsidP="00B31EEF">
            <w:pPr>
              <w:jc w:val="both"/>
              <w:rPr>
                <w:rFonts w:ascii="Arial" w:hAnsi="Arial" w:cs="Arial"/>
                <w:b/>
                <w:bCs/>
                <w:sz w:val="18"/>
                <w:szCs w:val="18"/>
                <w:lang w:eastAsia="de-DE"/>
              </w:rPr>
            </w:pPr>
            <w:r w:rsidRPr="002B57DE">
              <w:rPr>
                <w:rFonts w:ascii="Arial" w:hAnsi="Arial" w:cs="Arial"/>
                <w:b/>
                <w:bCs/>
                <w:sz w:val="18"/>
                <w:szCs w:val="18"/>
                <w:lang w:eastAsia="de-DE"/>
              </w:rPr>
              <w:t>Coeurs</w:t>
            </w:r>
          </w:p>
        </w:tc>
        <w:tc>
          <w:tcPr>
            <w:tcW w:w="283" w:type="dxa"/>
            <w:vAlign w:val="center"/>
          </w:tcPr>
          <w:p w:rsidR="000D2B6F" w:rsidRPr="002B57DE" w:rsidRDefault="000D2B6F" w:rsidP="00B31EEF">
            <w:pPr>
              <w:jc w:val="both"/>
              <w:rPr>
                <w:rFonts w:ascii="Arial" w:hAnsi="Arial" w:cs="Arial"/>
                <w:b/>
                <w:bCs/>
                <w:sz w:val="18"/>
                <w:szCs w:val="18"/>
                <w:lang w:eastAsia="de-DE"/>
              </w:rPr>
            </w:pPr>
          </w:p>
        </w:tc>
        <w:tc>
          <w:tcPr>
            <w:tcW w:w="1276" w:type="dxa"/>
            <w:tcBorders>
              <w:bottom w:val="single" w:sz="8" w:space="0" w:color="auto"/>
            </w:tcBorders>
            <w:vAlign w:val="center"/>
          </w:tcPr>
          <w:p w:rsidR="000D2B6F" w:rsidRPr="002B57DE" w:rsidRDefault="000D2B6F" w:rsidP="00B31EEF">
            <w:pPr>
              <w:jc w:val="both"/>
              <w:rPr>
                <w:rFonts w:ascii="Arial" w:hAnsi="Arial" w:cs="Arial"/>
                <w:b/>
                <w:bCs/>
                <w:sz w:val="18"/>
                <w:szCs w:val="18"/>
                <w:lang w:eastAsia="de-DE"/>
              </w:rPr>
            </w:pPr>
            <w:r w:rsidRPr="002B57DE">
              <w:rPr>
                <w:rFonts w:ascii="Arial" w:hAnsi="Arial" w:cs="Arial"/>
                <w:b/>
                <w:bCs/>
                <w:sz w:val="18"/>
                <w:szCs w:val="18"/>
                <w:lang w:eastAsia="de-DE"/>
              </w:rPr>
              <w:t>Intel® Smart Cache [MB]</w:t>
            </w:r>
          </w:p>
        </w:tc>
        <w:tc>
          <w:tcPr>
            <w:tcW w:w="236" w:type="dxa"/>
            <w:vAlign w:val="center"/>
          </w:tcPr>
          <w:p w:rsidR="000D2B6F" w:rsidRPr="002B57DE" w:rsidRDefault="000D2B6F" w:rsidP="00B31EEF">
            <w:pPr>
              <w:jc w:val="both"/>
              <w:rPr>
                <w:rFonts w:ascii="Arial" w:hAnsi="Arial" w:cs="Arial"/>
                <w:b/>
                <w:bCs/>
                <w:sz w:val="18"/>
                <w:szCs w:val="18"/>
                <w:lang w:eastAsia="de-DE"/>
              </w:rPr>
            </w:pPr>
          </w:p>
        </w:tc>
        <w:tc>
          <w:tcPr>
            <w:tcW w:w="1134" w:type="dxa"/>
            <w:tcBorders>
              <w:bottom w:val="single" w:sz="8" w:space="0" w:color="auto"/>
            </w:tcBorders>
            <w:vAlign w:val="center"/>
          </w:tcPr>
          <w:p w:rsidR="000D2B6F" w:rsidRPr="002B57DE" w:rsidRDefault="000D2B6F" w:rsidP="00B31EEF">
            <w:pPr>
              <w:jc w:val="both"/>
              <w:rPr>
                <w:rFonts w:ascii="Arial" w:hAnsi="Arial" w:cs="Arial"/>
                <w:b/>
                <w:bCs/>
                <w:sz w:val="18"/>
                <w:szCs w:val="18"/>
                <w:lang w:eastAsia="de-DE"/>
              </w:rPr>
            </w:pPr>
            <w:r w:rsidRPr="002B57DE">
              <w:rPr>
                <w:rFonts w:ascii="Arial" w:hAnsi="Arial" w:cs="Arial"/>
                <w:b/>
                <w:bCs/>
                <w:sz w:val="18"/>
                <w:szCs w:val="18"/>
                <w:lang w:eastAsia="de-DE"/>
              </w:rPr>
              <w:t>Clock/ Burst</w:t>
            </w:r>
          </w:p>
          <w:p w:rsidR="000D2B6F" w:rsidRPr="002B57DE" w:rsidRDefault="000D2B6F" w:rsidP="00B31EEF">
            <w:pPr>
              <w:jc w:val="both"/>
              <w:rPr>
                <w:rFonts w:ascii="Arial" w:hAnsi="Arial" w:cs="Arial"/>
                <w:b/>
                <w:bCs/>
                <w:sz w:val="18"/>
                <w:szCs w:val="18"/>
                <w:lang w:eastAsia="de-DE"/>
              </w:rPr>
            </w:pPr>
            <w:r w:rsidRPr="002B57DE">
              <w:rPr>
                <w:rFonts w:ascii="Arial" w:hAnsi="Arial" w:cs="Arial"/>
                <w:b/>
                <w:bCs/>
                <w:sz w:val="18"/>
                <w:szCs w:val="18"/>
                <w:lang w:eastAsia="de-DE"/>
              </w:rPr>
              <w:t>[GHz]</w:t>
            </w:r>
          </w:p>
        </w:tc>
        <w:tc>
          <w:tcPr>
            <w:tcW w:w="236" w:type="dxa"/>
            <w:vAlign w:val="center"/>
          </w:tcPr>
          <w:p w:rsidR="000D2B6F" w:rsidRPr="002B57DE" w:rsidRDefault="000D2B6F" w:rsidP="00B31EEF">
            <w:pPr>
              <w:jc w:val="both"/>
              <w:rPr>
                <w:rFonts w:ascii="Arial" w:hAnsi="Arial" w:cs="Arial"/>
                <w:b/>
                <w:bCs/>
                <w:sz w:val="18"/>
                <w:szCs w:val="18"/>
                <w:lang w:eastAsia="de-DE"/>
              </w:rPr>
            </w:pPr>
          </w:p>
        </w:tc>
        <w:tc>
          <w:tcPr>
            <w:tcW w:w="1134" w:type="dxa"/>
            <w:tcBorders>
              <w:bottom w:val="single" w:sz="8" w:space="0" w:color="auto"/>
            </w:tcBorders>
            <w:vAlign w:val="center"/>
          </w:tcPr>
          <w:p w:rsidR="000D2B6F" w:rsidRPr="002B57DE" w:rsidRDefault="000D2B6F" w:rsidP="00B31EEF">
            <w:pPr>
              <w:jc w:val="both"/>
              <w:rPr>
                <w:rFonts w:ascii="Arial" w:hAnsi="Arial" w:cs="Arial"/>
                <w:b/>
                <w:bCs/>
                <w:sz w:val="18"/>
                <w:szCs w:val="18"/>
                <w:lang w:eastAsia="de-DE"/>
              </w:rPr>
            </w:pPr>
            <w:r w:rsidRPr="002B57DE">
              <w:rPr>
                <w:rFonts w:ascii="Arial" w:hAnsi="Arial" w:cs="Arial"/>
                <w:b/>
                <w:bCs/>
                <w:sz w:val="18"/>
                <w:szCs w:val="18"/>
                <w:lang w:eastAsia="de-DE"/>
              </w:rPr>
              <w:t>TDP [W]</w:t>
            </w:r>
          </w:p>
        </w:tc>
        <w:tc>
          <w:tcPr>
            <w:tcW w:w="236" w:type="dxa"/>
            <w:vAlign w:val="center"/>
          </w:tcPr>
          <w:p w:rsidR="000D2B6F" w:rsidRPr="002B57DE" w:rsidRDefault="000D2B6F" w:rsidP="00B31EEF">
            <w:pPr>
              <w:jc w:val="both"/>
              <w:rPr>
                <w:rFonts w:ascii="Arial" w:hAnsi="Arial" w:cs="Arial"/>
                <w:b/>
                <w:bCs/>
                <w:sz w:val="18"/>
                <w:szCs w:val="18"/>
                <w:lang w:eastAsia="de-DE"/>
              </w:rPr>
            </w:pPr>
          </w:p>
        </w:tc>
        <w:tc>
          <w:tcPr>
            <w:tcW w:w="1134" w:type="dxa"/>
            <w:tcBorders>
              <w:bottom w:val="single" w:sz="8" w:space="0" w:color="auto"/>
            </w:tcBorders>
            <w:vAlign w:val="center"/>
          </w:tcPr>
          <w:p w:rsidR="000D2B6F" w:rsidRPr="002B57DE" w:rsidRDefault="000D2B6F" w:rsidP="00B31EEF">
            <w:pPr>
              <w:jc w:val="both"/>
              <w:rPr>
                <w:rFonts w:ascii="Arial" w:hAnsi="Arial" w:cs="Arial"/>
                <w:b/>
                <w:bCs/>
                <w:sz w:val="16"/>
                <w:szCs w:val="16"/>
                <w:lang w:eastAsia="de-DE"/>
              </w:rPr>
            </w:pPr>
            <w:r w:rsidRPr="002B57DE">
              <w:rPr>
                <w:rFonts w:ascii="Arial" w:hAnsi="Arial" w:cs="Arial"/>
                <w:b/>
                <w:bCs/>
                <w:sz w:val="16"/>
                <w:szCs w:val="16"/>
                <w:lang w:eastAsia="de-DE"/>
              </w:rPr>
              <w:t>Unités d’exécution graphiques</w:t>
            </w:r>
          </w:p>
        </w:tc>
      </w:tr>
      <w:tr w:rsidR="0057758A" w:rsidRPr="0028232F" w:rsidTr="00B31EEF">
        <w:tc>
          <w:tcPr>
            <w:tcW w:w="2235" w:type="dxa"/>
            <w:tcBorders>
              <w:top w:val="single" w:sz="8" w:space="0" w:color="auto"/>
              <w:bottom w:val="single" w:sz="8" w:space="0" w:color="auto"/>
            </w:tcBorders>
            <w:vAlign w:val="center"/>
          </w:tcPr>
          <w:p w:rsidR="0057758A" w:rsidRPr="000A3E6F" w:rsidRDefault="0057758A" w:rsidP="00B31EEF">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117C9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Pentium</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N4200</w:t>
            </w:r>
          </w:p>
        </w:tc>
        <w:tc>
          <w:tcPr>
            <w:tcW w:w="283" w:type="dxa"/>
            <w:vAlign w:val="center"/>
          </w:tcPr>
          <w:p w:rsidR="0057758A" w:rsidRPr="0028232F" w:rsidRDefault="0057758A" w:rsidP="00B31EE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4</w:t>
            </w:r>
          </w:p>
        </w:tc>
        <w:tc>
          <w:tcPr>
            <w:tcW w:w="283"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1.1 / 2.5</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6</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18</w:t>
            </w:r>
          </w:p>
        </w:tc>
      </w:tr>
      <w:tr w:rsidR="0057758A" w:rsidRPr="0028232F" w:rsidTr="00B31EEF">
        <w:tc>
          <w:tcPr>
            <w:tcW w:w="2235" w:type="dxa"/>
            <w:tcBorders>
              <w:top w:val="single" w:sz="8" w:space="0" w:color="auto"/>
              <w:bottom w:val="single" w:sz="8" w:space="0" w:color="auto"/>
            </w:tcBorders>
            <w:vAlign w:val="center"/>
          </w:tcPr>
          <w:p w:rsidR="0057758A" w:rsidRPr="000A3E6F" w:rsidRDefault="0057758A" w:rsidP="00B31EEF">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Celeron</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N3350</w:t>
            </w:r>
          </w:p>
        </w:tc>
        <w:tc>
          <w:tcPr>
            <w:tcW w:w="283" w:type="dxa"/>
            <w:vAlign w:val="center"/>
          </w:tcPr>
          <w:p w:rsidR="0057758A" w:rsidRPr="0028232F" w:rsidRDefault="0057758A" w:rsidP="00B31EE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83"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1.1 / 2.4</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6</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r>
      <w:tr w:rsidR="0057758A" w:rsidRPr="0028232F" w:rsidTr="00B31EEF">
        <w:tc>
          <w:tcPr>
            <w:tcW w:w="2235" w:type="dxa"/>
            <w:tcBorders>
              <w:top w:val="single" w:sz="8" w:space="0" w:color="auto"/>
              <w:bottom w:val="single" w:sz="8" w:space="0" w:color="auto"/>
            </w:tcBorders>
            <w:vAlign w:val="center"/>
          </w:tcPr>
          <w:p w:rsidR="0057758A" w:rsidRPr="000A3E6F" w:rsidRDefault="0057758A" w:rsidP="00B31EEF">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Atom™ x7-E3950</w:t>
            </w:r>
          </w:p>
        </w:tc>
        <w:tc>
          <w:tcPr>
            <w:tcW w:w="283" w:type="dxa"/>
            <w:vAlign w:val="center"/>
          </w:tcPr>
          <w:p w:rsidR="0057758A" w:rsidRPr="0028232F" w:rsidRDefault="0057758A" w:rsidP="00B31EE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4</w:t>
            </w:r>
          </w:p>
        </w:tc>
        <w:tc>
          <w:tcPr>
            <w:tcW w:w="283"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1.6 / 2.0</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18</w:t>
            </w:r>
          </w:p>
        </w:tc>
      </w:tr>
      <w:tr w:rsidR="0057758A" w:rsidRPr="0028232F" w:rsidTr="00B31EEF">
        <w:tc>
          <w:tcPr>
            <w:tcW w:w="2235" w:type="dxa"/>
            <w:tcBorders>
              <w:top w:val="single" w:sz="8" w:space="0" w:color="auto"/>
              <w:bottom w:val="single" w:sz="8" w:space="0" w:color="auto"/>
            </w:tcBorders>
            <w:vAlign w:val="center"/>
          </w:tcPr>
          <w:p w:rsidR="0057758A" w:rsidRPr="000A3E6F" w:rsidRDefault="0057758A" w:rsidP="00B31EEF">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ED5C59">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Atom™ x5-E3940</w:t>
            </w:r>
          </w:p>
        </w:tc>
        <w:tc>
          <w:tcPr>
            <w:tcW w:w="283" w:type="dxa"/>
            <w:vAlign w:val="center"/>
          </w:tcPr>
          <w:p w:rsidR="0057758A" w:rsidRPr="0028232F" w:rsidRDefault="0057758A" w:rsidP="00B31EE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4</w:t>
            </w:r>
          </w:p>
        </w:tc>
        <w:tc>
          <w:tcPr>
            <w:tcW w:w="283"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1.6 / 1.8</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9</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r>
      <w:tr w:rsidR="0057758A" w:rsidRPr="0028232F" w:rsidTr="00B31EEF">
        <w:tc>
          <w:tcPr>
            <w:tcW w:w="2235" w:type="dxa"/>
            <w:tcBorders>
              <w:top w:val="single" w:sz="8" w:space="0" w:color="auto"/>
              <w:bottom w:val="single" w:sz="8" w:space="0" w:color="auto"/>
            </w:tcBorders>
            <w:vAlign w:val="center"/>
          </w:tcPr>
          <w:p w:rsidR="0057758A" w:rsidRPr="000A3E6F" w:rsidRDefault="0057758A" w:rsidP="00B31EEF">
            <w:pPr>
              <w:spacing w:line="360" w:lineRule="auto"/>
              <w:rPr>
                <w:rFonts w:ascii="Arial" w:hAnsi="Arial" w:cs="Arial"/>
                <w:b/>
                <w:bCs/>
                <w:color w:val="262626"/>
                <w:sz w:val="18"/>
                <w:szCs w:val="18"/>
                <w:lang w:eastAsia="de-DE"/>
              </w:rPr>
            </w:pPr>
            <w:r w:rsidRPr="000A3E6F">
              <w:rPr>
                <w:rFonts w:ascii="Arial" w:hAnsi="Arial" w:cs="Arial"/>
                <w:b/>
                <w:bCs/>
                <w:color w:val="262626"/>
                <w:sz w:val="18"/>
                <w:szCs w:val="18"/>
                <w:lang w:eastAsia="de-DE"/>
              </w:rPr>
              <w:t>Intel</w:t>
            </w:r>
            <w:r w:rsidRPr="00460263">
              <w:rPr>
                <w:rFonts w:ascii="Arial" w:hAnsi="Arial" w:cs="Arial"/>
                <w:b/>
                <w:bCs/>
                <w:color w:val="262626"/>
                <w:sz w:val="18"/>
                <w:szCs w:val="18"/>
                <w:vertAlign w:val="superscript"/>
                <w:lang w:eastAsia="de-DE"/>
              </w:rPr>
              <w:t>®</w:t>
            </w:r>
            <w:r w:rsidRPr="000A3E6F">
              <w:rPr>
                <w:rFonts w:ascii="Arial" w:hAnsi="Arial" w:cs="Arial"/>
                <w:b/>
                <w:bCs/>
                <w:color w:val="262626"/>
                <w:sz w:val="18"/>
                <w:szCs w:val="18"/>
                <w:lang w:eastAsia="de-DE"/>
              </w:rPr>
              <w:t xml:space="preserve"> Atom™ x5-E3930</w:t>
            </w:r>
          </w:p>
        </w:tc>
        <w:tc>
          <w:tcPr>
            <w:tcW w:w="283" w:type="dxa"/>
            <w:vAlign w:val="center"/>
          </w:tcPr>
          <w:p w:rsidR="0057758A" w:rsidRPr="0028232F" w:rsidRDefault="0057758A" w:rsidP="00B31EEF">
            <w:pPr>
              <w:spacing w:line="360" w:lineRule="auto"/>
              <w:rPr>
                <w:rFonts w:ascii="Arial" w:hAnsi="Arial" w:cs="Arial"/>
                <w:bCs/>
                <w:color w:val="262626"/>
                <w:sz w:val="18"/>
                <w:szCs w:val="18"/>
                <w:lang w:eastAsia="de-DE"/>
              </w:rPr>
            </w:pPr>
          </w:p>
        </w:tc>
        <w:tc>
          <w:tcPr>
            <w:tcW w:w="851"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2</w:t>
            </w:r>
          </w:p>
        </w:tc>
        <w:tc>
          <w:tcPr>
            <w:tcW w:w="283"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276"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1.3 / 1.8</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6.5</w:t>
            </w:r>
          </w:p>
        </w:tc>
        <w:tc>
          <w:tcPr>
            <w:tcW w:w="236" w:type="dxa"/>
            <w:vAlign w:val="center"/>
          </w:tcPr>
          <w:p w:rsidR="0057758A" w:rsidRPr="0028232F" w:rsidRDefault="0057758A" w:rsidP="00B31EEF">
            <w:pPr>
              <w:spacing w:line="360" w:lineRule="auto"/>
              <w:jc w:val="center"/>
              <w:rPr>
                <w:rFonts w:ascii="Arial" w:hAnsi="Arial" w:cs="Arial"/>
                <w:bCs/>
                <w:color w:val="262626"/>
                <w:sz w:val="18"/>
                <w:szCs w:val="18"/>
                <w:lang w:eastAsia="de-DE"/>
              </w:rPr>
            </w:pPr>
          </w:p>
        </w:tc>
        <w:tc>
          <w:tcPr>
            <w:tcW w:w="1134" w:type="dxa"/>
            <w:tcBorders>
              <w:top w:val="single" w:sz="8" w:space="0" w:color="auto"/>
              <w:bottom w:val="single" w:sz="8" w:space="0" w:color="auto"/>
            </w:tcBorders>
            <w:vAlign w:val="center"/>
          </w:tcPr>
          <w:p w:rsidR="0057758A" w:rsidRPr="0028232F" w:rsidRDefault="0057758A" w:rsidP="00B31EEF">
            <w:pPr>
              <w:spacing w:line="360" w:lineRule="auto"/>
              <w:jc w:val="center"/>
              <w:rPr>
                <w:rFonts w:ascii="Arial" w:hAnsi="Arial" w:cs="Arial"/>
                <w:bCs/>
                <w:color w:val="262626"/>
                <w:sz w:val="18"/>
                <w:szCs w:val="18"/>
                <w:lang w:eastAsia="de-DE"/>
              </w:rPr>
            </w:pPr>
            <w:r w:rsidRPr="0028232F">
              <w:rPr>
                <w:rFonts w:ascii="Arial" w:hAnsi="Arial" w:cs="Arial"/>
                <w:bCs/>
                <w:color w:val="262626"/>
                <w:sz w:val="18"/>
                <w:szCs w:val="18"/>
                <w:lang w:eastAsia="de-DE"/>
              </w:rPr>
              <w:t>12</w:t>
            </w:r>
          </w:p>
        </w:tc>
      </w:tr>
    </w:tbl>
    <w:p w:rsidR="000D2B6F" w:rsidRPr="002B57DE" w:rsidRDefault="000D2B6F" w:rsidP="000D2B6F">
      <w:pPr>
        <w:spacing w:line="360" w:lineRule="auto"/>
        <w:jc w:val="both"/>
        <w:rPr>
          <w:rFonts w:ascii="Arial" w:hAnsi="Arial" w:cs="Arial"/>
          <w:sz w:val="22"/>
          <w:szCs w:val="22"/>
          <w:lang w:val="en-GB"/>
        </w:rPr>
      </w:pPr>
    </w:p>
    <w:p w:rsidR="000D2B6F" w:rsidRPr="002B57DE" w:rsidRDefault="000D2B6F" w:rsidP="0057758A">
      <w:pPr>
        <w:spacing w:line="360" w:lineRule="auto"/>
        <w:rPr>
          <w:rStyle w:val="Kommentarzeichen1"/>
          <w:rFonts w:ascii="Arial" w:hAnsi="Arial" w:cs="Arial"/>
          <w:color w:val="FF0000"/>
          <w:sz w:val="22"/>
          <w:szCs w:val="22"/>
        </w:rPr>
      </w:pPr>
      <w:bookmarkStart w:id="0" w:name="_GoBack"/>
      <w:r w:rsidRPr="002B57DE">
        <w:rPr>
          <w:rFonts w:ascii="Arial" w:hAnsi="Arial" w:cs="Arial"/>
          <w:sz w:val="22"/>
          <w:szCs w:val="22"/>
        </w:rPr>
        <w:t>Plus d’informations sur le nouveau module conga-SA5, visitez :</w:t>
      </w:r>
      <w:hyperlink r:id="rId12" w:history="1">
        <w:r w:rsidRPr="0057758A">
          <w:rPr>
            <w:rStyle w:val="Hyperlink"/>
            <w:rFonts w:ascii="Arial" w:hAnsi="Arial" w:cs="Arial"/>
            <w:sz w:val="22"/>
            <w:szCs w:val="22"/>
          </w:rPr>
          <w:t xml:space="preserve"> http://www.congatec.com/en/products/smarc/conga-sa5.html</w:t>
        </w:r>
      </w:hyperlink>
      <w:bookmarkEnd w:id="0"/>
      <w:r w:rsidRPr="0057758A">
        <w:rPr>
          <w:rFonts w:ascii="Arial" w:hAnsi="Arial" w:cs="Arial"/>
          <w:sz w:val="22"/>
          <w:szCs w:val="22"/>
        </w:rPr>
        <w:t xml:space="preserve"> </w:t>
      </w:r>
    </w:p>
    <w:p w:rsidR="00224FBE" w:rsidRPr="0057758A" w:rsidRDefault="00224FBE" w:rsidP="0043675A">
      <w:pPr>
        <w:spacing w:before="240" w:line="276" w:lineRule="auto"/>
        <w:rPr>
          <w:rFonts w:ascii="Arial" w:eastAsia="MS Mincho" w:hAnsi="Arial" w:cs="Arial"/>
          <w:sz w:val="22"/>
          <w:szCs w:val="22"/>
        </w:rPr>
      </w:pPr>
    </w:p>
    <w:p w:rsidR="00224FBE" w:rsidRPr="0057758A" w:rsidRDefault="00224FBE" w:rsidP="0043675A">
      <w:pPr>
        <w:spacing w:before="240" w:line="276" w:lineRule="auto"/>
        <w:rPr>
          <w:rFonts w:ascii="Arial" w:hAnsi="Arial" w:cs="Arial"/>
          <w:b/>
          <w:sz w:val="18"/>
          <w:szCs w:val="18"/>
        </w:rPr>
      </w:pPr>
    </w:p>
    <w:p w:rsidR="007A1350" w:rsidRPr="00EE168D" w:rsidRDefault="007A1350" w:rsidP="00953DE9">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 xml:space="preserve">A propos de </w:t>
      </w:r>
      <w:r w:rsidR="00AF08F9" w:rsidRPr="00EE168D">
        <w:rPr>
          <w:rFonts w:ascii="Arial" w:hAnsi="Arial" w:cs="Arial"/>
          <w:b/>
          <w:bCs/>
          <w:sz w:val="16"/>
          <w:szCs w:val="16"/>
          <w:lang w:eastAsia="ar-SA" w:bidi="ar-SA"/>
        </w:rPr>
        <w:t>congatec France SAS</w:t>
      </w:r>
    </w:p>
    <w:p w:rsidR="00931403" w:rsidRPr="00EE168D" w:rsidRDefault="00AF08F9" w:rsidP="00931403">
      <w:pPr>
        <w:pStyle w:val="Standard1"/>
        <w:spacing w:before="120"/>
        <w:rPr>
          <w:rFonts w:ascii="Arial" w:hAnsi="Arial" w:cs="Arial"/>
          <w:bCs/>
          <w:sz w:val="16"/>
          <w:szCs w:val="16"/>
          <w:lang w:eastAsia="ar-SA" w:bidi="ar-SA"/>
        </w:rPr>
      </w:pPr>
      <w:r w:rsidRPr="00EE168D">
        <w:rPr>
          <w:rFonts w:ascii="Arial" w:hAnsi="Arial" w:cs="Arial"/>
          <w:color w:val="000000"/>
          <w:sz w:val="16"/>
          <w:szCs w:val="16"/>
          <w:lang w:bidi="ar-SA"/>
        </w:rPr>
        <w:t>c</w:t>
      </w:r>
      <w:r w:rsidR="00931403" w:rsidRPr="00EE168D">
        <w:rPr>
          <w:rFonts w:ascii="Arial" w:hAnsi="Arial" w:cs="Arial"/>
          <w:color w:val="000000"/>
          <w:sz w:val="16"/>
          <w:szCs w:val="16"/>
          <w:lang w:bidi="ar-SA"/>
        </w:rPr>
        <w:t>ongatec</w:t>
      </w:r>
      <w:r w:rsidRPr="00EE168D">
        <w:rPr>
          <w:rFonts w:ascii="Arial" w:hAnsi="Arial" w:cs="Arial"/>
          <w:color w:val="000000"/>
          <w:sz w:val="16"/>
          <w:szCs w:val="16"/>
          <w:lang w:bidi="ar-SA"/>
        </w:rPr>
        <w:t xml:space="preserve"> </w:t>
      </w:r>
      <w:r w:rsidR="00931403" w:rsidRPr="00EE168D">
        <w:rPr>
          <w:rFonts w:ascii="Arial" w:hAnsi="Arial" w:cs="Arial"/>
          <w:color w:val="000000"/>
          <w:sz w:val="16"/>
          <w:szCs w:val="16"/>
          <w:lang w:bidi="ar-SA"/>
        </w:rPr>
        <w:t xml:space="preserve">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board support packages conséquents. Les clients sont pris en charge dès la phase de conception à l'aide d'un programme complet de gestion du cycle de vie du produit. Les produits de l'entreprise sont fabriqués par des prestataires spécialisés selon les normes de qualité les plus modernes. congatec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3" w:history="1">
        <w:r w:rsidR="00931403" w:rsidRPr="00EE168D">
          <w:rPr>
            <w:rStyle w:val="Hyperlink"/>
            <w:rFonts w:ascii="Arial" w:hAnsi="Arial" w:cs="Arial"/>
            <w:bCs/>
            <w:sz w:val="16"/>
            <w:szCs w:val="16"/>
            <w:lang w:eastAsia="ar-SA" w:bidi="ar-SA"/>
          </w:rPr>
          <w:t>www.congatec.com</w:t>
        </w:r>
      </w:hyperlink>
      <w:r w:rsidR="00931403" w:rsidRPr="00EE168D">
        <w:rPr>
          <w:rFonts w:ascii="Arial" w:hAnsi="Arial" w:cs="Arial"/>
          <w:bCs/>
          <w:sz w:val="16"/>
          <w:szCs w:val="16"/>
          <w:lang w:eastAsia="ar-SA" w:bidi="ar-SA"/>
        </w:rPr>
        <w:t xml:space="preserve"> ou via </w:t>
      </w:r>
      <w:hyperlink r:id="rId14" w:history="1">
        <w:r w:rsidR="00931403" w:rsidRPr="00EE168D">
          <w:rPr>
            <w:rStyle w:val="Hyperlink"/>
            <w:rFonts w:ascii="Arial" w:hAnsi="Arial" w:cs="Arial"/>
            <w:sz w:val="16"/>
            <w:szCs w:val="16"/>
            <w:lang w:eastAsia="ar-SA" w:bidi="ar-SA"/>
          </w:rPr>
          <w:t>Facebook</w:t>
        </w:r>
      </w:hyperlink>
      <w:r w:rsidR="00931403" w:rsidRPr="00EE168D">
        <w:rPr>
          <w:rFonts w:ascii="Arial" w:hAnsi="Arial" w:cs="Arial"/>
          <w:bCs/>
          <w:sz w:val="16"/>
          <w:szCs w:val="16"/>
          <w:lang w:eastAsia="ar-SA" w:bidi="ar-SA"/>
        </w:rPr>
        <w:t xml:space="preserve">, </w:t>
      </w:r>
      <w:hyperlink r:id="rId15" w:history="1">
        <w:r w:rsidR="00931403" w:rsidRPr="00EE168D">
          <w:rPr>
            <w:rStyle w:val="Hyperlink"/>
            <w:rFonts w:ascii="Arial" w:hAnsi="Arial" w:cs="Arial"/>
            <w:sz w:val="16"/>
            <w:szCs w:val="16"/>
            <w:lang w:eastAsia="ar-SA" w:bidi="ar-SA"/>
          </w:rPr>
          <w:t>Twitter</w:t>
        </w:r>
      </w:hyperlink>
      <w:r w:rsidR="00931403" w:rsidRPr="00EE168D">
        <w:rPr>
          <w:rFonts w:ascii="Arial" w:hAnsi="Arial" w:cs="Arial"/>
          <w:bCs/>
          <w:sz w:val="16"/>
          <w:szCs w:val="16"/>
          <w:lang w:eastAsia="ar-SA" w:bidi="ar-SA"/>
        </w:rPr>
        <w:t xml:space="preserve"> and </w:t>
      </w:r>
      <w:hyperlink r:id="rId16" w:history="1">
        <w:r w:rsidR="00931403" w:rsidRPr="00EE168D">
          <w:rPr>
            <w:rStyle w:val="Hyperlink"/>
            <w:rFonts w:ascii="Arial" w:hAnsi="Arial" w:cs="Arial"/>
            <w:sz w:val="16"/>
            <w:szCs w:val="16"/>
            <w:lang w:eastAsia="ar-SA" w:bidi="ar-SA"/>
          </w:rPr>
          <w:t>YouTube</w:t>
        </w:r>
      </w:hyperlink>
      <w:r w:rsidR="00931403" w:rsidRPr="00EE168D">
        <w:rPr>
          <w:rStyle w:val="Hyperlink"/>
          <w:rFonts w:ascii="Arial" w:hAnsi="Arial" w:cs="Arial"/>
          <w:sz w:val="16"/>
          <w:szCs w:val="16"/>
          <w:lang w:eastAsia="ar-SA" w:bidi="ar-SA"/>
        </w:rPr>
        <w:t>.</w:t>
      </w:r>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line="200" w:lineRule="atLeast"/>
        <w:jc w:val="center"/>
        <w:rPr>
          <w:rFonts w:ascii="Arial" w:hAnsi="Arial" w:cs="Arial"/>
          <w:i/>
          <w:iCs/>
          <w:sz w:val="18"/>
          <w:szCs w:val="18"/>
        </w:rPr>
      </w:pPr>
    </w:p>
    <w:p w:rsidR="00420363" w:rsidRDefault="00420363" w:rsidP="00420363">
      <w:pPr>
        <w:pStyle w:val="Standard1"/>
        <w:spacing w:line="200" w:lineRule="atLeast"/>
        <w:jc w:val="center"/>
        <w:rPr>
          <w:rFonts w:ascii="Arial" w:hAnsi="Arial" w:cs="Arial"/>
          <w:color w:val="000000"/>
          <w:sz w:val="16"/>
          <w:szCs w:val="16"/>
          <w:lang w:bidi="ar-SA"/>
        </w:rPr>
      </w:pPr>
      <w:r>
        <w:rPr>
          <w:rFonts w:ascii="Arial" w:hAnsi="Arial" w:cs="Arial"/>
          <w:color w:val="000000"/>
          <w:sz w:val="16"/>
          <w:szCs w:val="16"/>
          <w:lang w:bidi="ar-SA"/>
        </w:rPr>
        <w:t>Intel et Intel Atom, Celeron, Pentium sont des marques enregistrées d’Intel Corporation aux Etats-Unis et dans d’autres pays.</w:t>
      </w:r>
    </w:p>
    <w:p w:rsidR="003E417C" w:rsidRPr="00EE168D" w:rsidRDefault="003E417C" w:rsidP="00963C97">
      <w:pPr>
        <w:pStyle w:val="Standard1"/>
        <w:spacing w:after="57" w:line="200" w:lineRule="atLeast"/>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2B6F"/>
    <w:rsid w:val="000D3D55"/>
    <w:rsid w:val="000D460B"/>
    <w:rsid w:val="000D5930"/>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20363"/>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58A"/>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74B6F"/>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510BD"/>
    <w:rsid w:val="00953DE9"/>
    <w:rsid w:val="00961F14"/>
    <w:rsid w:val="00963C97"/>
    <w:rsid w:val="0096512A"/>
    <w:rsid w:val="00967941"/>
    <w:rsid w:val="00970B95"/>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7EB2"/>
    <w:rsid w:val="00C00991"/>
    <w:rsid w:val="00C018A0"/>
    <w:rsid w:val="00C14428"/>
    <w:rsid w:val="00C20BBE"/>
    <w:rsid w:val="00C21C4F"/>
    <w:rsid w:val="00C22167"/>
    <w:rsid w:val="00C245A5"/>
    <w:rsid w:val="00C249AB"/>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2615"/>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8876152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20http://www.congatec.com/en/products/smarc/conga-sa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6414</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7417</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22</cp:revision>
  <cp:lastPrinted>2014-01-29T21:42:00Z</cp:lastPrinted>
  <dcterms:created xsi:type="dcterms:W3CDTF">2016-11-25T07:55:00Z</dcterms:created>
  <dcterms:modified xsi:type="dcterms:W3CDTF">2017-03-16T10:17:00Z</dcterms:modified>
</cp:coreProperties>
</file>