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50048D"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50048D"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50048D"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50048D"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F16D9C" w:rsidRPr="00E92FB0" w:rsidRDefault="00F16D9C" w:rsidP="00F16D9C">
      <w:pPr>
        <w:spacing w:after="120"/>
        <w:rPr>
          <w:rFonts w:ascii="Arial" w:hAnsi="Arial" w:cs="Arial"/>
          <w:b/>
          <w:sz w:val="22"/>
          <w:szCs w:val="22"/>
        </w:rPr>
      </w:pPr>
      <w:r w:rsidRPr="00E92FB0">
        <w:rPr>
          <w:rFonts w:ascii="Arial" w:hAnsi="Arial" w:cs="Arial"/>
          <w:b/>
          <w:noProof/>
          <w:sz w:val="22"/>
          <w:szCs w:val="22"/>
          <w:lang w:eastAsia="de-DE"/>
        </w:rPr>
        <w:drawing>
          <wp:inline distT="0" distB="0" distL="0" distR="0">
            <wp:extent cx="1440000" cy="886259"/>
            <wp:effectExtent l="19050" t="0" r="7800" b="0"/>
            <wp:docPr id="1" name="Bild 1" descr="Z:\congatec\01-PR\COPR1718-AMD-Geode\congatec-Geode-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8-AMD-Geode\congatec-Geode-Module.jpg"/>
                    <pic:cNvPicPr>
                      <a:picLocks noChangeAspect="1" noChangeArrowheads="1"/>
                    </pic:cNvPicPr>
                  </pic:nvPicPr>
                  <pic:blipFill>
                    <a:blip r:embed="rId10" cstate="print"/>
                    <a:srcRect/>
                    <a:stretch>
                      <a:fillRect/>
                    </a:stretch>
                  </pic:blipFill>
                  <pic:spPr bwMode="auto">
                    <a:xfrm>
                      <a:off x="0" y="0"/>
                      <a:ext cx="1440000" cy="886259"/>
                    </a:xfrm>
                    <a:prstGeom prst="rect">
                      <a:avLst/>
                    </a:prstGeom>
                    <a:noFill/>
                    <a:ln w="9525">
                      <a:noFill/>
                      <a:miter lim="800000"/>
                      <a:headEnd/>
                      <a:tailEnd/>
                    </a:ln>
                  </pic:spPr>
                </pic:pic>
              </a:graphicData>
            </a:graphic>
          </wp:inline>
        </w:drawing>
      </w:r>
    </w:p>
    <w:p w:rsidR="00F16D9C" w:rsidRDefault="00F16D9C" w:rsidP="00F16D9C">
      <w:pPr>
        <w:spacing w:after="120"/>
        <w:rPr>
          <w:rFonts w:ascii="Arial" w:hAnsi="Arial" w:cs="Arial"/>
          <w:i/>
          <w:noProof/>
          <w:sz w:val="16"/>
          <w:szCs w:val="16"/>
          <w:lang w:eastAsia="de-DE"/>
        </w:rPr>
      </w:pPr>
      <w:r w:rsidRPr="00F16D9C">
        <w:rPr>
          <w:rFonts w:ascii="Arial" w:hAnsi="Arial" w:cs="Arial"/>
          <w:i/>
          <w:noProof/>
          <w:sz w:val="16"/>
          <w:szCs w:val="16"/>
          <w:lang w:eastAsia="de-DE"/>
        </w:rPr>
        <w:t>congatec établit un nouveau record avec un support jusqu’en 2021 pour les modules ETX et XTX équipés du processeur AMD Geode (à gauche)</w:t>
      </w:r>
    </w:p>
    <w:p w:rsidR="004504EA" w:rsidRPr="00F16D9C" w:rsidRDefault="004504EA" w:rsidP="00F16D9C">
      <w:pPr>
        <w:spacing w:after="120"/>
        <w:rPr>
          <w:rFonts w:ascii="Arial" w:hAnsi="Arial" w:cs="Arial"/>
          <w:i/>
          <w:noProof/>
          <w:sz w:val="16"/>
          <w:szCs w:val="16"/>
          <w:lang w:eastAsia="de-DE"/>
        </w:rPr>
      </w:pP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F16D9C" w:rsidRDefault="001905A2" w:rsidP="008A325F">
      <w:pPr>
        <w:widowControl w:val="0"/>
        <w:rPr>
          <w:rFonts w:ascii="Arial" w:hAnsi="Arial" w:cs="Arial"/>
          <w:b/>
          <w:bCs/>
          <w:u w:val="single"/>
        </w:rPr>
      </w:pPr>
      <w:r w:rsidRPr="00F16D9C">
        <w:rPr>
          <w:rFonts w:ascii="Arial" w:hAnsi="Arial" w:cs="Arial"/>
          <w:b/>
          <w:bCs/>
          <w:u w:val="single"/>
        </w:rPr>
        <w:t>Communiqué de presse</w:t>
      </w:r>
    </w:p>
    <w:p w:rsidR="008A325F" w:rsidRPr="00F16D9C" w:rsidRDefault="008A325F" w:rsidP="008A325F">
      <w:pPr>
        <w:widowControl w:val="0"/>
        <w:rPr>
          <w:rFonts w:ascii="Arial" w:hAnsi="Arial" w:cs="Arial"/>
          <w:b/>
          <w:bCs/>
          <w:u w:val="single"/>
        </w:rPr>
      </w:pPr>
    </w:p>
    <w:p w:rsidR="00327536" w:rsidRPr="00935DB1" w:rsidRDefault="00327536" w:rsidP="00327536">
      <w:pPr>
        <w:jc w:val="center"/>
        <w:rPr>
          <w:rFonts w:ascii="Arial" w:hAnsi="Arial" w:cs="Arial"/>
          <w:bCs/>
        </w:rPr>
      </w:pPr>
      <w:proofErr w:type="gramStart"/>
      <w:r w:rsidRPr="00935DB1">
        <w:rPr>
          <w:rFonts w:ascii="Arial" w:hAnsi="Arial" w:cs="Arial"/>
          <w:bCs/>
        </w:rPr>
        <w:t>congatec</w:t>
      </w:r>
      <w:proofErr w:type="gramEnd"/>
      <w:r w:rsidRPr="00935DB1">
        <w:rPr>
          <w:rFonts w:ascii="Arial" w:hAnsi="Arial" w:cs="Arial"/>
          <w:bCs/>
        </w:rPr>
        <w:t xml:space="preserve"> s’associe avec AMD pour le support </w:t>
      </w:r>
      <w:r w:rsidR="00796C41">
        <w:rPr>
          <w:rFonts w:ascii="Arial" w:hAnsi="Arial" w:cs="Arial"/>
          <w:bCs/>
        </w:rPr>
        <w:br/>
      </w:r>
      <w:r w:rsidRPr="00935DB1">
        <w:rPr>
          <w:rFonts w:ascii="Arial" w:hAnsi="Arial" w:cs="Arial"/>
          <w:bCs/>
        </w:rPr>
        <w:t xml:space="preserve">à long-terme des processeurs AMD </w:t>
      </w:r>
      <w:proofErr w:type="spellStart"/>
      <w:r w:rsidRPr="00935DB1">
        <w:rPr>
          <w:rFonts w:ascii="Arial" w:hAnsi="Arial" w:cs="Arial"/>
          <w:bCs/>
        </w:rPr>
        <w:t>Geode</w:t>
      </w:r>
      <w:proofErr w:type="spellEnd"/>
      <w:r w:rsidRPr="00935DB1">
        <w:rPr>
          <w:rFonts w:ascii="Arial" w:hAnsi="Arial" w:cs="Arial"/>
          <w:bCs/>
        </w:rPr>
        <w:t>™</w:t>
      </w:r>
    </w:p>
    <w:p w:rsidR="00327536" w:rsidRPr="00E92FB0" w:rsidRDefault="00327536" w:rsidP="00327536">
      <w:pPr>
        <w:jc w:val="center"/>
        <w:rPr>
          <w:rFonts w:ascii="Arial" w:hAnsi="Arial" w:cs="Arial"/>
          <w:b/>
          <w:bCs/>
        </w:rPr>
      </w:pPr>
    </w:p>
    <w:p w:rsidR="00327536" w:rsidRPr="002F4BEF" w:rsidRDefault="00327536" w:rsidP="00327536">
      <w:pPr>
        <w:pStyle w:val="Standard1"/>
        <w:jc w:val="center"/>
        <w:rPr>
          <w:rFonts w:ascii="Arial" w:hAnsi="Arial" w:cs="Arial"/>
          <w:b/>
          <w:bCs/>
          <w:sz w:val="28"/>
          <w:szCs w:val="28"/>
        </w:rPr>
      </w:pPr>
    </w:p>
    <w:p w:rsidR="00327536" w:rsidRPr="00E92FB0" w:rsidRDefault="00327536" w:rsidP="00327536">
      <w:pPr>
        <w:pStyle w:val="Standard1"/>
        <w:jc w:val="center"/>
        <w:rPr>
          <w:rFonts w:ascii="Arial" w:hAnsi="Arial" w:cs="Arial"/>
          <w:b/>
          <w:bCs/>
          <w:sz w:val="28"/>
          <w:szCs w:val="28"/>
        </w:rPr>
      </w:pPr>
      <w:r w:rsidRPr="00E92FB0">
        <w:rPr>
          <w:rFonts w:ascii="Arial" w:hAnsi="Arial" w:cs="Arial"/>
          <w:b/>
          <w:bCs/>
          <w:sz w:val="28"/>
          <w:szCs w:val="28"/>
        </w:rPr>
        <w:t xml:space="preserve">Une équipe gagnante : modules congatec ETX/XTX et AMD </w:t>
      </w:r>
      <w:proofErr w:type="spellStart"/>
      <w:r w:rsidRPr="00E92FB0">
        <w:rPr>
          <w:rFonts w:ascii="Arial" w:hAnsi="Arial" w:cs="Arial"/>
          <w:b/>
          <w:bCs/>
          <w:sz w:val="28"/>
          <w:szCs w:val="28"/>
        </w:rPr>
        <w:t>Geode</w:t>
      </w:r>
      <w:proofErr w:type="spellEnd"/>
    </w:p>
    <w:p w:rsidR="00327536" w:rsidRPr="00E92FB0" w:rsidRDefault="00327536" w:rsidP="00327536">
      <w:pPr>
        <w:pStyle w:val="Standard1"/>
        <w:jc w:val="center"/>
        <w:rPr>
          <w:rFonts w:ascii="Arial" w:hAnsi="Arial" w:cs="Arial"/>
          <w:b/>
        </w:rPr>
      </w:pPr>
    </w:p>
    <w:p w:rsidR="00327536" w:rsidRPr="002F4BEF" w:rsidRDefault="00327536" w:rsidP="00327536">
      <w:pPr>
        <w:spacing w:line="276" w:lineRule="auto"/>
        <w:rPr>
          <w:rFonts w:ascii="Arial" w:hAnsi="Arial" w:cs="Arial"/>
          <w:sz w:val="22"/>
          <w:szCs w:val="22"/>
        </w:rPr>
      </w:pPr>
    </w:p>
    <w:p w:rsidR="00327536" w:rsidRPr="00E92FB0" w:rsidRDefault="00327536" w:rsidP="00327536">
      <w:pPr>
        <w:spacing w:line="276" w:lineRule="auto"/>
        <w:rPr>
          <w:rStyle w:val="Kommentarzeichen1"/>
          <w:rFonts w:ascii="Arial" w:hAnsi="Arial" w:cs="Arial"/>
          <w:sz w:val="22"/>
          <w:szCs w:val="22"/>
        </w:rPr>
      </w:pPr>
      <w:r w:rsidRPr="00E92FB0">
        <w:rPr>
          <w:rStyle w:val="Kommentarzeichen1"/>
          <w:rFonts w:ascii="Arial" w:hAnsi="Arial"/>
          <w:b/>
          <w:sz w:val="22"/>
        </w:rPr>
        <w:t xml:space="preserve">Deggendorf, Allemagne, le 16 </w:t>
      </w:r>
      <w:r w:rsidRPr="00E92FB0">
        <w:rPr>
          <w:rStyle w:val="Kommentarzeichen1"/>
          <w:rFonts w:ascii="Arial" w:hAnsi="Arial" w:cs="Arial"/>
          <w:b/>
          <w:sz w:val="22"/>
          <w:szCs w:val="22"/>
        </w:rPr>
        <w:t xml:space="preserve">janvier 2018  </w:t>
      </w:r>
      <w:r w:rsidRPr="00E92FB0">
        <w:rPr>
          <w:rStyle w:val="Kommentarzeichen1"/>
          <w:rFonts w:ascii="Arial" w:hAnsi="Arial" w:cs="Arial"/>
          <w:sz w:val="22"/>
          <w:szCs w:val="22"/>
        </w:rPr>
        <w:t xml:space="preserve">-- </w:t>
      </w:r>
      <w:r w:rsidRPr="00E92FB0">
        <w:rPr>
          <w:rFonts w:ascii="Arial" w:hAnsi="Arial" w:cs="Arial"/>
          <w:sz w:val="22"/>
          <w:szCs w:val="22"/>
        </w:rPr>
        <w:t xml:space="preserve">congatec - </w:t>
      </w:r>
      <w:r w:rsidRPr="002F4BEF">
        <w:rPr>
          <w:rFonts w:ascii="Arial" w:hAnsi="Arial" w:cs="Arial"/>
          <w:sz w:val="22"/>
          <w:szCs w:val="22"/>
        </w:rPr>
        <w:t>acteur de premier plan dans le domaine des modules processeurs embarqués, des cartes SBC et des services EDM,</w:t>
      </w:r>
    </w:p>
    <w:p w:rsidR="00327536" w:rsidRPr="00E92FB0" w:rsidRDefault="00327536" w:rsidP="00327536">
      <w:pPr>
        <w:spacing w:line="276" w:lineRule="auto"/>
        <w:rPr>
          <w:rFonts w:ascii="Arial" w:hAnsi="Arial" w:cs="Arial"/>
          <w:sz w:val="22"/>
          <w:szCs w:val="22"/>
        </w:rPr>
      </w:pPr>
      <w:proofErr w:type="gramStart"/>
      <w:r w:rsidRPr="00E92FB0">
        <w:rPr>
          <w:rStyle w:val="Kommentarzeichen1"/>
          <w:rFonts w:ascii="Arial" w:hAnsi="Arial" w:cs="Arial"/>
          <w:sz w:val="22"/>
          <w:szCs w:val="22"/>
        </w:rPr>
        <w:t>et</w:t>
      </w:r>
      <w:proofErr w:type="gramEnd"/>
      <w:r w:rsidRPr="00E92FB0">
        <w:rPr>
          <w:rStyle w:val="Kommentarzeichen1"/>
          <w:rFonts w:ascii="Arial" w:hAnsi="Arial" w:cs="Arial"/>
          <w:sz w:val="22"/>
          <w:szCs w:val="22"/>
        </w:rPr>
        <w:t xml:space="preserve"> AMD s’associent pour offrir un cycle de support étendu pour l’un des processeurs x86 en service depuis le plus longtemps dans le monde. Cette collaboration permettra aux cartes de congatec construites sur les processeurs </w:t>
      </w:r>
      <w:r w:rsidRPr="00E92FB0">
        <w:rPr>
          <w:rFonts w:ascii="Arial" w:hAnsi="Arial" w:cs="Arial"/>
          <w:sz w:val="22"/>
          <w:szCs w:val="22"/>
        </w:rPr>
        <w:t xml:space="preserve">AMD </w:t>
      </w:r>
      <w:proofErr w:type="spellStart"/>
      <w:r w:rsidRPr="00E92FB0">
        <w:rPr>
          <w:rFonts w:ascii="Arial" w:hAnsi="Arial" w:cs="Arial"/>
          <w:sz w:val="22"/>
          <w:szCs w:val="22"/>
        </w:rPr>
        <w:t>Geode</w:t>
      </w:r>
      <w:proofErr w:type="spellEnd"/>
      <w:r w:rsidRPr="00E92FB0">
        <w:rPr>
          <w:rFonts w:ascii="Arial" w:hAnsi="Arial" w:cs="Arial"/>
          <w:sz w:val="22"/>
          <w:szCs w:val="22"/>
        </w:rPr>
        <w:t>™ de bénéficier d’une disponibilité étendue jusqu’à la fin de l’année 2021.</w:t>
      </w:r>
    </w:p>
    <w:p w:rsidR="00327536" w:rsidRPr="00327536" w:rsidRDefault="00327536" w:rsidP="00327536">
      <w:pPr>
        <w:spacing w:line="276" w:lineRule="auto"/>
        <w:rPr>
          <w:rFonts w:ascii="Arial" w:hAnsi="Arial" w:cs="Arial"/>
          <w:sz w:val="22"/>
          <w:szCs w:val="22"/>
          <w:shd w:val="clear" w:color="auto" w:fill="FFFFFF"/>
        </w:rPr>
      </w:pPr>
    </w:p>
    <w:p w:rsidR="00327536" w:rsidRPr="00E92FB0" w:rsidRDefault="00327536" w:rsidP="00327536">
      <w:pPr>
        <w:spacing w:line="276" w:lineRule="auto"/>
        <w:rPr>
          <w:rFonts w:ascii="Arial" w:hAnsi="Arial" w:cs="Arial"/>
          <w:sz w:val="22"/>
          <w:szCs w:val="22"/>
          <w:shd w:val="clear" w:color="auto" w:fill="FFFFFF"/>
        </w:rPr>
      </w:pPr>
      <w:r w:rsidRPr="00E92FB0">
        <w:rPr>
          <w:rFonts w:ascii="Arial" w:hAnsi="Arial" w:cs="Arial"/>
          <w:sz w:val="22"/>
          <w:szCs w:val="22"/>
          <w:shd w:val="clear" w:color="auto" w:fill="FFFFFF"/>
        </w:rPr>
        <w:t>« Grâce à cette collaboration congatec-AMD pour assurer le suppor</w:t>
      </w:r>
      <w:bookmarkStart w:id="0" w:name="_GoBack"/>
      <w:bookmarkEnd w:id="0"/>
      <w:r w:rsidRPr="00E92FB0">
        <w:rPr>
          <w:rFonts w:ascii="Arial" w:hAnsi="Arial" w:cs="Arial"/>
          <w:sz w:val="22"/>
          <w:szCs w:val="22"/>
          <w:shd w:val="clear" w:color="auto" w:fill="FFFFFF"/>
        </w:rPr>
        <w:t xml:space="preserve">t des modules ETX et XTX construits sur la ligne de produits AMD </w:t>
      </w:r>
      <w:proofErr w:type="spellStart"/>
      <w:r w:rsidRPr="00E92FB0">
        <w:rPr>
          <w:rFonts w:ascii="Arial" w:hAnsi="Arial" w:cs="Arial"/>
          <w:sz w:val="22"/>
          <w:szCs w:val="22"/>
          <w:shd w:val="clear" w:color="auto" w:fill="FFFFFF"/>
        </w:rPr>
        <w:t>Geode</w:t>
      </w:r>
      <w:proofErr w:type="spellEnd"/>
      <w:r w:rsidRPr="00E92FB0">
        <w:rPr>
          <w:rFonts w:ascii="Arial" w:hAnsi="Arial" w:cs="Arial"/>
          <w:sz w:val="22"/>
          <w:szCs w:val="22"/>
          <w:shd w:val="clear" w:color="auto" w:fill="FFFFFF"/>
        </w:rPr>
        <w:t xml:space="preserve"> au moins jusqu’à la fin de l’année 2021, </w:t>
      </w:r>
      <w:proofErr w:type="gramStart"/>
      <w:r w:rsidRPr="00E92FB0">
        <w:rPr>
          <w:rFonts w:ascii="Arial" w:hAnsi="Arial" w:cs="Arial"/>
          <w:sz w:val="22"/>
          <w:szCs w:val="22"/>
          <w:shd w:val="clear" w:color="auto" w:fill="FFFFFF"/>
        </w:rPr>
        <w:t>les</w:t>
      </w:r>
      <w:proofErr w:type="gramEnd"/>
      <w:r w:rsidRPr="00E92FB0">
        <w:rPr>
          <w:rFonts w:ascii="Arial" w:hAnsi="Arial" w:cs="Arial"/>
          <w:sz w:val="22"/>
          <w:szCs w:val="22"/>
          <w:shd w:val="clear" w:color="auto" w:fill="FFFFFF"/>
        </w:rPr>
        <w:t xml:space="preserve"> clients employant nos Computer-on-Module vont bénéficier de conditions de pérennité et de retour sur investissement très appréciables pour leurs gammes de produits construits autour des </w:t>
      </w:r>
      <w:proofErr w:type="spellStart"/>
      <w:r w:rsidRPr="00E92FB0">
        <w:rPr>
          <w:rFonts w:ascii="Arial" w:hAnsi="Arial" w:cs="Arial"/>
          <w:sz w:val="22"/>
          <w:szCs w:val="22"/>
          <w:shd w:val="clear" w:color="auto" w:fill="FFFFFF"/>
        </w:rPr>
        <w:t>Geode</w:t>
      </w:r>
      <w:proofErr w:type="spellEnd"/>
      <w:r w:rsidRPr="00E92FB0">
        <w:rPr>
          <w:rFonts w:ascii="Arial" w:hAnsi="Arial" w:cs="Arial"/>
          <w:sz w:val="22"/>
          <w:szCs w:val="22"/>
          <w:shd w:val="clear" w:color="auto" w:fill="FFFFFF"/>
        </w:rPr>
        <w:t xml:space="preserve"> d’AMD, » a expliqué Martin </w:t>
      </w:r>
      <w:proofErr w:type="spellStart"/>
      <w:r w:rsidRPr="00E92FB0">
        <w:rPr>
          <w:rFonts w:ascii="Arial" w:hAnsi="Arial" w:cs="Arial"/>
          <w:sz w:val="22"/>
          <w:szCs w:val="22"/>
          <w:shd w:val="clear" w:color="auto" w:fill="FFFFFF"/>
        </w:rPr>
        <w:t>Danzer</w:t>
      </w:r>
      <w:proofErr w:type="spellEnd"/>
      <w:r w:rsidRPr="00E92FB0">
        <w:rPr>
          <w:rFonts w:ascii="Arial" w:hAnsi="Arial" w:cs="Arial"/>
          <w:sz w:val="22"/>
          <w:szCs w:val="22"/>
          <w:shd w:val="clear" w:color="auto" w:fill="FFFFFF"/>
        </w:rPr>
        <w:t xml:space="preserve">, Directeur de la Gestion des Produits chez congatec. « Pouvoir livrer jusqu’à 2021, cela représente une durée de disponibilité de 16 ans, puisque le </w:t>
      </w:r>
      <w:proofErr w:type="spellStart"/>
      <w:r w:rsidRPr="00E92FB0">
        <w:rPr>
          <w:rFonts w:ascii="Arial" w:hAnsi="Arial" w:cs="Arial"/>
          <w:sz w:val="22"/>
          <w:szCs w:val="22"/>
          <w:shd w:val="clear" w:color="auto" w:fill="FFFFFF"/>
        </w:rPr>
        <w:t>Geode</w:t>
      </w:r>
      <w:proofErr w:type="spellEnd"/>
      <w:r w:rsidRPr="00E92FB0">
        <w:rPr>
          <w:rFonts w:ascii="Arial" w:hAnsi="Arial" w:cs="Arial"/>
          <w:sz w:val="22"/>
          <w:szCs w:val="22"/>
          <w:shd w:val="clear" w:color="auto" w:fill="FFFFFF"/>
        </w:rPr>
        <w:t xml:space="preserve"> LX a été lancé par AMD en 2005. C’est un cas unique pour les marchés de l’embarqué x86, où les processeurs sont en général disponibles 7 ans, et cela souligne notre engagement à rester un partenaire de confiance pour tout le cycle de vie des produits. »</w:t>
      </w:r>
    </w:p>
    <w:p w:rsidR="00327536" w:rsidRPr="00935DB1" w:rsidRDefault="00327536" w:rsidP="00327536">
      <w:pPr>
        <w:spacing w:line="276" w:lineRule="auto"/>
        <w:rPr>
          <w:rFonts w:ascii="Arial" w:eastAsia="MS Mincho" w:hAnsi="Arial" w:cs="Arial"/>
          <w:sz w:val="22"/>
          <w:szCs w:val="22"/>
        </w:rPr>
      </w:pPr>
    </w:p>
    <w:p w:rsidR="00327536" w:rsidRPr="00E92FB0" w:rsidRDefault="00327536" w:rsidP="00327536">
      <w:pPr>
        <w:spacing w:line="276" w:lineRule="auto"/>
        <w:rPr>
          <w:rFonts w:ascii="Arial" w:eastAsia="MS Mincho" w:hAnsi="Arial" w:cs="Arial"/>
          <w:sz w:val="22"/>
          <w:szCs w:val="22"/>
        </w:rPr>
      </w:pPr>
      <w:r w:rsidRPr="00E92FB0">
        <w:rPr>
          <w:rFonts w:ascii="Arial" w:hAnsi="Arial" w:cs="Arial"/>
          <w:sz w:val="22"/>
          <w:szCs w:val="22"/>
          <w:shd w:val="clear" w:color="auto" w:fill="FFFFFF"/>
        </w:rPr>
        <w:t xml:space="preserve">« AMD sert le marché de l’embarqué depuis 20 ans et, forts de cette expérience, nous savons que l’une des choses les plus importantes pour les clients est la durée de </w:t>
      </w:r>
      <w:r w:rsidRPr="00E92FB0">
        <w:rPr>
          <w:rFonts w:ascii="Arial" w:hAnsi="Arial" w:cs="Arial"/>
          <w:sz w:val="22"/>
          <w:szCs w:val="22"/>
          <w:shd w:val="clear" w:color="auto" w:fill="FFFFFF"/>
        </w:rPr>
        <w:lastRenderedPageBreak/>
        <w:t xml:space="preserve">disponibilité, » a déclaré pour sa part Stephen </w:t>
      </w:r>
      <w:proofErr w:type="spellStart"/>
      <w:r w:rsidRPr="00E92FB0">
        <w:rPr>
          <w:rFonts w:ascii="Arial" w:hAnsi="Arial" w:cs="Arial"/>
          <w:sz w:val="22"/>
          <w:szCs w:val="22"/>
          <w:shd w:val="clear" w:color="auto" w:fill="FFFFFF"/>
        </w:rPr>
        <w:t>Turnbull</w:t>
      </w:r>
      <w:proofErr w:type="spellEnd"/>
      <w:r w:rsidRPr="00E92FB0">
        <w:rPr>
          <w:rFonts w:ascii="Arial" w:hAnsi="Arial" w:cs="Arial"/>
          <w:sz w:val="22"/>
          <w:szCs w:val="22"/>
          <w:shd w:val="clear" w:color="auto" w:fill="FFFFFF"/>
        </w:rPr>
        <w:t>, Directeur du Développement Commercial d’AMD. « Nous sommes fiers de voir le succès de notre ligne de produits embarqués et, pour cette raison, de pouvoir étendre leur durée de support jusqu’en 2021, ce qui place nos produits x86 embarqués parmi ceux qui auront connu la plus longue durée de disponibilité continue sur ce marché. »</w:t>
      </w:r>
    </w:p>
    <w:p w:rsidR="00327536" w:rsidRPr="00935DB1" w:rsidRDefault="00327536" w:rsidP="00327536">
      <w:pPr>
        <w:spacing w:line="276" w:lineRule="auto"/>
        <w:rPr>
          <w:rFonts w:ascii="Arial" w:eastAsia="MS Mincho" w:hAnsi="Arial" w:cs="Arial"/>
          <w:sz w:val="22"/>
          <w:szCs w:val="22"/>
        </w:rPr>
      </w:pPr>
    </w:p>
    <w:p w:rsidR="00327536" w:rsidRPr="00E92FB0" w:rsidRDefault="00327536" w:rsidP="00327536">
      <w:pPr>
        <w:spacing w:line="276" w:lineRule="auto"/>
        <w:rPr>
          <w:rFonts w:ascii="Arial" w:eastAsia="MS Mincho" w:hAnsi="Arial" w:cs="Arial"/>
          <w:sz w:val="22"/>
          <w:szCs w:val="22"/>
        </w:rPr>
      </w:pPr>
      <w:r w:rsidRPr="00E92FB0">
        <w:rPr>
          <w:rFonts w:ascii="Arial" w:eastAsia="MS Mincho" w:hAnsi="Arial" w:cs="Arial"/>
          <w:sz w:val="22"/>
          <w:szCs w:val="22"/>
        </w:rPr>
        <w:t xml:space="preserve">Pour permettre de réaliser cette extension, AMD a mis au point un substrat non-halogéné ne nécessitant pratiquement aucun changement sur la forme, l’insertion et les fonctions du processeur, de sorte que tous les critères de qualification d’AMD seront respectés. Les modules congatec avec les nouveaux échantillons de processeur </w:t>
      </w:r>
      <w:proofErr w:type="spellStart"/>
      <w:r w:rsidRPr="00E92FB0">
        <w:rPr>
          <w:rFonts w:ascii="Arial" w:eastAsia="MS Mincho" w:hAnsi="Arial" w:cs="Arial"/>
          <w:sz w:val="22"/>
          <w:szCs w:val="22"/>
        </w:rPr>
        <w:t>Geode</w:t>
      </w:r>
      <w:proofErr w:type="spellEnd"/>
      <w:r w:rsidRPr="00E92FB0">
        <w:rPr>
          <w:rFonts w:ascii="Arial" w:eastAsia="MS Mincho" w:hAnsi="Arial" w:cs="Arial"/>
          <w:sz w:val="22"/>
          <w:szCs w:val="22"/>
        </w:rPr>
        <w:t xml:space="preserve"> sont disponibles sous des références produits identiques.</w:t>
      </w:r>
    </w:p>
    <w:p w:rsidR="00327536" w:rsidRPr="00E92FB0" w:rsidRDefault="00327536" w:rsidP="00327536">
      <w:pPr>
        <w:spacing w:line="276" w:lineRule="auto"/>
        <w:rPr>
          <w:rFonts w:ascii="Arial" w:eastAsia="MS Mincho" w:hAnsi="Arial" w:cs="Arial"/>
          <w:sz w:val="22"/>
          <w:szCs w:val="22"/>
        </w:rPr>
      </w:pPr>
    </w:p>
    <w:p w:rsidR="00327536" w:rsidRPr="00E92FB0" w:rsidRDefault="00327536" w:rsidP="00327536">
      <w:pPr>
        <w:spacing w:before="240" w:line="276" w:lineRule="auto"/>
        <w:rPr>
          <w:rFonts w:ascii="Arial" w:eastAsia="MS Mincho" w:hAnsi="Arial" w:cs="Arial"/>
          <w:sz w:val="22"/>
          <w:szCs w:val="22"/>
        </w:rPr>
      </w:pPr>
      <w:r w:rsidRPr="00E92FB0">
        <w:rPr>
          <w:rFonts w:ascii="Arial" w:eastAsia="MS Mincho" w:hAnsi="Arial" w:cs="Arial"/>
          <w:sz w:val="22"/>
          <w:szCs w:val="22"/>
        </w:rPr>
        <w:t>Produits dont le support est assuré :</w:t>
      </w:r>
    </w:p>
    <w:tbl>
      <w:tblPr>
        <w:tblW w:w="9039" w:type="dxa"/>
        <w:tblLayout w:type="fixed"/>
        <w:tblLook w:val="04A0"/>
      </w:tblPr>
      <w:tblGrid>
        <w:gridCol w:w="2235"/>
        <w:gridCol w:w="283"/>
        <w:gridCol w:w="850"/>
        <w:gridCol w:w="236"/>
        <w:gridCol w:w="1891"/>
        <w:gridCol w:w="283"/>
        <w:gridCol w:w="1577"/>
        <w:gridCol w:w="266"/>
        <w:gridCol w:w="1418"/>
      </w:tblGrid>
      <w:tr w:rsidR="00327536" w:rsidRPr="00E92FB0" w:rsidTr="00144886">
        <w:tc>
          <w:tcPr>
            <w:tcW w:w="2235" w:type="dxa"/>
            <w:tcBorders>
              <w:bottom w:val="single" w:sz="8" w:space="0" w:color="auto"/>
            </w:tcBorders>
            <w:vAlign w:val="center"/>
          </w:tcPr>
          <w:p w:rsidR="00327536" w:rsidRPr="00E92FB0" w:rsidRDefault="00327536" w:rsidP="00144886">
            <w:pPr>
              <w:jc w:val="center"/>
              <w:rPr>
                <w:rFonts w:ascii="Arial" w:hAnsi="Arial" w:cs="Arial"/>
                <w:b/>
                <w:bCs/>
                <w:sz w:val="18"/>
                <w:szCs w:val="18"/>
                <w:lang w:val="en-US" w:eastAsia="de-DE"/>
              </w:rPr>
            </w:pPr>
            <w:r w:rsidRPr="00E92FB0">
              <w:rPr>
                <w:rFonts w:ascii="Arial" w:hAnsi="Arial" w:cs="Arial"/>
                <w:b/>
                <w:bCs/>
                <w:sz w:val="18"/>
                <w:szCs w:val="18"/>
                <w:lang w:val="en-US" w:eastAsia="de-DE"/>
              </w:rPr>
              <w:t>Module</w:t>
            </w:r>
          </w:p>
        </w:tc>
        <w:tc>
          <w:tcPr>
            <w:tcW w:w="283" w:type="dxa"/>
            <w:vAlign w:val="center"/>
          </w:tcPr>
          <w:p w:rsidR="00327536" w:rsidRPr="00E92FB0" w:rsidRDefault="00327536" w:rsidP="00144886">
            <w:pPr>
              <w:jc w:val="center"/>
              <w:rPr>
                <w:rFonts w:ascii="Arial" w:hAnsi="Arial" w:cs="Arial"/>
                <w:b/>
                <w:bCs/>
                <w:sz w:val="18"/>
                <w:szCs w:val="18"/>
                <w:lang w:val="en-US" w:eastAsia="de-DE"/>
              </w:rPr>
            </w:pPr>
          </w:p>
        </w:tc>
        <w:tc>
          <w:tcPr>
            <w:tcW w:w="850" w:type="dxa"/>
            <w:tcBorders>
              <w:bottom w:val="single" w:sz="8" w:space="0" w:color="auto"/>
            </w:tcBorders>
            <w:vAlign w:val="center"/>
          </w:tcPr>
          <w:p w:rsidR="00327536" w:rsidRPr="00E92FB0" w:rsidRDefault="00327536" w:rsidP="00144886">
            <w:pPr>
              <w:jc w:val="center"/>
              <w:rPr>
                <w:rFonts w:ascii="Arial" w:hAnsi="Arial" w:cs="Arial"/>
                <w:b/>
                <w:bCs/>
                <w:sz w:val="18"/>
                <w:szCs w:val="18"/>
                <w:lang w:val="en-US" w:eastAsia="de-DE"/>
              </w:rPr>
            </w:pPr>
            <w:r w:rsidRPr="00E92FB0">
              <w:rPr>
                <w:rFonts w:ascii="Arial" w:hAnsi="Arial" w:cs="Arial"/>
                <w:b/>
                <w:bCs/>
                <w:sz w:val="18"/>
                <w:szCs w:val="18"/>
                <w:lang w:val="en-US" w:eastAsia="de-DE"/>
              </w:rPr>
              <w:t>Format</w:t>
            </w:r>
          </w:p>
        </w:tc>
        <w:tc>
          <w:tcPr>
            <w:tcW w:w="236" w:type="dxa"/>
            <w:vAlign w:val="center"/>
          </w:tcPr>
          <w:p w:rsidR="00327536" w:rsidRPr="00E92FB0" w:rsidRDefault="00327536" w:rsidP="00144886">
            <w:pPr>
              <w:jc w:val="center"/>
              <w:rPr>
                <w:rFonts w:ascii="Arial" w:hAnsi="Arial" w:cs="Arial"/>
                <w:b/>
                <w:bCs/>
                <w:sz w:val="18"/>
                <w:szCs w:val="18"/>
                <w:lang w:val="en-US" w:eastAsia="de-DE"/>
              </w:rPr>
            </w:pPr>
          </w:p>
        </w:tc>
        <w:tc>
          <w:tcPr>
            <w:tcW w:w="1891" w:type="dxa"/>
            <w:tcBorders>
              <w:bottom w:val="single" w:sz="8" w:space="0" w:color="auto"/>
            </w:tcBorders>
            <w:vAlign w:val="center"/>
          </w:tcPr>
          <w:p w:rsidR="00327536" w:rsidRPr="00E92FB0" w:rsidRDefault="00327536" w:rsidP="00144886">
            <w:pPr>
              <w:jc w:val="center"/>
              <w:rPr>
                <w:rFonts w:ascii="Arial" w:hAnsi="Arial" w:cs="Arial"/>
                <w:b/>
                <w:bCs/>
                <w:sz w:val="18"/>
                <w:szCs w:val="18"/>
                <w:lang w:val="en-US" w:eastAsia="de-DE"/>
              </w:rPr>
            </w:pPr>
            <w:proofErr w:type="spellStart"/>
            <w:r w:rsidRPr="00E92FB0">
              <w:rPr>
                <w:rFonts w:ascii="Arial" w:hAnsi="Arial" w:cs="Arial"/>
                <w:b/>
                <w:bCs/>
                <w:sz w:val="18"/>
                <w:szCs w:val="18"/>
                <w:lang w:val="en-US" w:eastAsia="de-DE"/>
              </w:rPr>
              <w:t>Processeur</w:t>
            </w:r>
            <w:proofErr w:type="spellEnd"/>
          </w:p>
        </w:tc>
        <w:tc>
          <w:tcPr>
            <w:tcW w:w="283" w:type="dxa"/>
            <w:vAlign w:val="center"/>
          </w:tcPr>
          <w:p w:rsidR="00327536" w:rsidRPr="00E92FB0" w:rsidRDefault="00327536" w:rsidP="00144886">
            <w:pPr>
              <w:jc w:val="center"/>
              <w:rPr>
                <w:rFonts w:ascii="Arial" w:hAnsi="Arial" w:cs="Arial"/>
                <w:b/>
                <w:bCs/>
                <w:sz w:val="18"/>
                <w:szCs w:val="18"/>
                <w:lang w:val="en-US" w:eastAsia="de-DE"/>
              </w:rPr>
            </w:pPr>
          </w:p>
        </w:tc>
        <w:tc>
          <w:tcPr>
            <w:tcW w:w="1577" w:type="dxa"/>
            <w:tcBorders>
              <w:bottom w:val="single" w:sz="8" w:space="0" w:color="auto"/>
            </w:tcBorders>
            <w:vAlign w:val="center"/>
          </w:tcPr>
          <w:p w:rsidR="00327536" w:rsidRPr="00E92FB0" w:rsidRDefault="00327536" w:rsidP="00144886">
            <w:pPr>
              <w:jc w:val="center"/>
              <w:rPr>
                <w:rFonts w:ascii="Arial" w:hAnsi="Arial" w:cs="Arial"/>
                <w:b/>
                <w:bCs/>
                <w:sz w:val="18"/>
                <w:szCs w:val="18"/>
                <w:lang w:val="en-US" w:eastAsia="de-DE"/>
              </w:rPr>
            </w:pPr>
            <w:r w:rsidRPr="00E92FB0">
              <w:rPr>
                <w:rFonts w:ascii="Arial" w:hAnsi="Arial" w:cs="Arial"/>
                <w:b/>
                <w:bCs/>
                <w:sz w:val="18"/>
                <w:szCs w:val="18"/>
                <w:lang w:val="en-US" w:eastAsia="de-DE"/>
              </w:rPr>
              <w:t>RAM</w:t>
            </w:r>
          </w:p>
        </w:tc>
        <w:tc>
          <w:tcPr>
            <w:tcW w:w="266" w:type="dxa"/>
            <w:tcBorders>
              <w:bottom w:val="single" w:sz="8" w:space="0" w:color="auto"/>
            </w:tcBorders>
            <w:vAlign w:val="center"/>
          </w:tcPr>
          <w:p w:rsidR="00327536" w:rsidRPr="00E92FB0" w:rsidRDefault="00327536" w:rsidP="00144886">
            <w:pPr>
              <w:jc w:val="center"/>
              <w:rPr>
                <w:rFonts w:ascii="Arial" w:hAnsi="Arial" w:cs="Arial"/>
                <w:b/>
                <w:bCs/>
                <w:sz w:val="18"/>
                <w:szCs w:val="18"/>
                <w:lang w:val="en-US" w:eastAsia="de-DE"/>
              </w:rPr>
            </w:pPr>
          </w:p>
        </w:tc>
        <w:tc>
          <w:tcPr>
            <w:tcW w:w="1418" w:type="dxa"/>
            <w:tcBorders>
              <w:bottom w:val="single" w:sz="8" w:space="0" w:color="auto"/>
            </w:tcBorders>
            <w:vAlign w:val="center"/>
          </w:tcPr>
          <w:p w:rsidR="00327536" w:rsidRPr="00E92FB0" w:rsidRDefault="00327536" w:rsidP="00144886">
            <w:pPr>
              <w:rPr>
                <w:rFonts w:ascii="Arial" w:hAnsi="Arial" w:cs="Arial"/>
                <w:b/>
                <w:bCs/>
                <w:sz w:val="18"/>
                <w:szCs w:val="18"/>
                <w:lang w:val="en-US" w:eastAsia="de-DE"/>
              </w:rPr>
            </w:pPr>
            <w:proofErr w:type="spellStart"/>
            <w:r w:rsidRPr="00E92FB0">
              <w:rPr>
                <w:rFonts w:ascii="Arial" w:hAnsi="Arial" w:cs="Arial"/>
                <w:b/>
                <w:bCs/>
                <w:sz w:val="18"/>
                <w:szCs w:val="18"/>
                <w:lang w:val="en-US" w:eastAsia="de-DE"/>
              </w:rPr>
              <w:t>Consommation</w:t>
            </w:r>
            <w:proofErr w:type="spellEnd"/>
          </w:p>
        </w:tc>
      </w:tr>
      <w:tr w:rsidR="00327536" w:rsidRPr="00E92FB0" w:rsidTr="00144886">
        <w:tc>
          <w:tcPr>
            <w:tcW w:w="2235" w:type="dxa"/>
            <w:tcBorders>
              <w:top w:val="single" w:sz="8" w:space="0" w:color="auto"/>
              <w:bottom w:val="single" w:sz="8" w:space="0" w:color="auto"/>
            </w:tcBorders>
            <w:vAlign w:val="center"/>
          </w:tcPr>
          <w:p w:rsidR="00327536" w:rsidRPr="00E92FB0" w:rsidRDefault="00327536" w:rsidP="00144886">
            <w:pPr>
              <w:spacing w:line="360" w:lineRule="auto"/>
              <w:rPr>
                <w:rFonts w:ascii="Arial" w:hAnsi="Arial" w:cs="Arial"/>
                <w:b/>
                <w:bCs/>
                <w:sz w:val="18"/>
                <w:szCs w:val="18"/>
                <w:lang w:val="en-US" w:eastAsia="de-DE"/>
              </w:rPr>
            </w:pPr>
            <w:r w:rsidRPr="00E92FB0">
              <w:rPr>
                <w:rFonts w:ascii="Arial" w:hAnsi="Arial" w:cs="Arial"/>
                <w:b/>
                <w:bCs/>
                <w:sz w:val="18"/>
                <w:szCs w:val="18"/>
                <w:lang w:val="en-US" w:eastAsia="de-DE"/>
              </w:rPr>
              <w:t>conga-XLX</w:t>
            </w:r>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XTX</w:t>
            </w:r>
          </w:p>
        </w:tc>
        <w:tc>
          <w:tcPr>
            <w:tcW w:w="236" w:type="dxa"/>
            <w:vAlign w:val="center"/>
          </w:tcPr>
          <w:p w:rsidR="00327536" w:rsidRPr="00E92FB0" w:rsidRDefault="00327536" w:rsidP="00144886">
            <w:pPr>
              <w:spacing w:line="360" w:lineRule="auto"/>
              <w:jc w:val="center"/>
              <w:rPr>
                <w:rFonts w:ascii="Arial" w:hAnsi="Arial" w:cs="Arial"/>
                <w:b/>
                <w:bCs/>
                <w:sz w:val="18"/>
                <w:szCs w:val="18"/>
                <w:lang w:val="en-US" w:eastAsia="de-DE"/>
              </w:rPr>
            </w:pPr>
          </w:p>
        </w:tc>
        <w:tc>
          <w:tcPr>
            <w:tcW w:w="1891"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AMD Geode™ LX 800</w:t>
            </w:r>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1 GB DDR3/PC2700</w:t>
            </w:r>
          </w:p>
        </w:tc>
        <w:tc>
          <w:tcPr>
            <w:tcW w:w="266"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5 W (typical)</w:t>
            </w:r>
          </w:p>
        </w:tc>
      </w:tr>
      <w:tr w:rsidR="00327536" w:rsidRPr="00E92FB0" w:rsidTr="00144886">
        <w:tc>
          <w:tcPr>
            <w:tcW w:w="2235" w:type="dxa"/>
            <w:tcBorders>
              <w:top w:val="single" w:sz="8" w:space="0" w:color="auto"/>
              <w:bottom w:val="single" w:sz="8" w:space="0" w:color="auto"/>
            </w:tcBorders>
            <w:vAlign w:val="center"/>
          </w:tcPr>
          <w:p w:rsidR="00327536" w:rsidRPr="00E92FB0" w:rsidRDefault="00327536" w:rsidP="00144886">
            <w:pPr>
              <w:spacing w:line="360" w:lineRule="auto"/>
              <w:rPr>
                <w:rFonts w:ascii="Arial" w:hAnsi="Arial" w:cs="Arial"/>
                <w:b/>
                <w:bCs/>
                <w:sz w:val="18"/>
                <w:szCs w:val="18"/>
                <w:lang w:val="en-US" w:eastAsia="de-DE"/>
              </w:rPr>
            </w:pPr>
            <w:r w:rsidRPr="00E92FB0">
              <w:rPr>
                <w:rFonts w:ascii="Arial" w:hAnsi="Arial" w:cs="Arial"/>
                <w:b/>
                <w:bCs/>
                <w:sz w:val="18"/>
                <w:szCs w:val="18"/>
                <w:lang w:val="en-US" w:eastAsia="de-DE"/>
              </w:rPr>
              <w:t>conga-ELX</w:t>
            </w:r>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ETX</w:t>
            </w:r>
          </w:p>
        </w:tc>
        <w:tc>
          <w:tcPr>
            <w:tcW w:w="236" w:type="dxa"/>
            <w:vAlign w:val="center"/>
          </w:tcPr>
          <w:p w:rsidR="00327536" w:rsidRPr="00E92FB0" w:rsidRDefault="00327536" w:rsidP="00144886">
            <w:pPr>
              <w:spacing w:line="360" w:lineRule="auto"/>
              <w:jc w:val="center"/>
              <w:rPr>
                <w:rFonts w:ascii="Arial" w:hAnsi="Arial" w:cs="Arial"/>
                <w:b/>
                <w:bCs/>
                <w:sz w:val="18"/>
                <w:szCs w:val="18"/>
                <w:lang w:val="en-US" w:eastAsia="de-DE"/>
              </w:rPr>
            </w:pPr>
          </w:p>
        </w:tc>
        <w:tc>
          <w:tcPr>
            <w:tcW w:w="1891"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AMD Geode™ LX 800</w:t>
            </w:r>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1 GB PC2700</w:t>
            </w:r>
          </w:p>
        </w:tc>
        <w:tc>
          <w:tcPr>
            <w:tcW w:w="266"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5 W (typical)</w:t>
            </w:r>
          </w:p>
        </w:tc>
      </w:tr>
      <w:tr w:rsidR="00327536" w:rsidRPr="00E92FB0" w:rsidTr="00144886">
        <w:tc>
          <w:tcPr>
            <w:tcW w:w="2235" w:type="dxa"/>
            <w:tcBorders>
              <w:top w:val="single" w:sz="8" w:space="0" w:color="auto"/>
              <w:bottom w:val="single" w:sz="8" w:space="0" w:color="auto"/>
            </w:tcBorders>
            <w:vAlign w:val="center"/>
          </w:tcPr>
          <w:p w:rsidR="00327536" w:rsidRPr="00E92FB0" w:rsidRDefault="00327536" w:rsidP="00144886">
            <w:pPr>
              <w:spacing w:line="360" w:lineRule="auto"/>
              <w:rPr>
                <w:rFonts w:ascii="Arial" w:hAnsi="Arial" w:cs="Arial"/>
                <w:b/>
                <w:bCs/>
                <w:sz w:val="18"/>
                <w:szCs w:val="18"/>
                <w:lang w:val="en-US" w:eastAsia="de-DE"/>
              </w:rPr>
            </w:pPr>
            <w:r w:rsidRPr="00E92FB0">
              <w:rPr>
                <w:rFonts w:ascii="Arial" w:hAnsi="Arial" w:cs="Arial"/>
                <w:b/>
                <w:bCs/>
                <w:sz w:val="18"/>
                <w:szCs w:val="18"/>
                <w:lang w:val="en-US" w:eastAsia="de-DE"/>
              </w:rPr>
              <w:t>conga-</w:t>
            </w:r>
            <w:proofErr w:type="spellStart"/>
            <w:r w:rsidRPr="00E92FB0">
              <w:rPr>
                <w:rFonts w:ascii="Arial" w:hAnsi="Arial" w:cs="Arial"/>
                <w:b/>
                <w:bCs/>
                <w:sz w:val="18"/>
                <w:szCs w:val="18"/>
                <w:lang w:val="en-US" w:eastAsia="de-DE"/>
              </w:rPr>
              <w:t>ELXeco</w:t>
            </w:r>
            <w:proofErr w:type="spellEnd"/>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ETX</w:t>
            </w:r>
          </w:p>
        </w:tc>
        <w:tc>
          <w:tcPr>
            <w:tcW w:w="236" w:type="dxa"/>
            <w:vAlign w:val="center"/>
          </w:tcPr>
          <w:p w:rsidR="00327536" w:rsidRPr="00E92FB0" w:rsidRDefault="00327536" w:rsidP="00144886">
            <w:pPr>
              <w:spacing w:line="360" w:lineRule="auto"/>
              <w:jc w:val="center"/>
              <w:rPr>
                <w:rFonts w:ascii="Arial" w:hAnsi="Arial" w:cs="Arial"/>
                <w:b/>
                <w:bCs/>
                <w:sz w:val="18"/>
                <w:szCs w:val="18"/>
                <w:lang w:val="en-US" w:eastAsia="de-DE"/>
              </w:rPr>
            </w:pPr>
          </w:p>
        </w:tc>
        <w:tc>
          <w:tcPr>
            <w:tcW w:w="1891"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AMD Geode™ LX 800</w:t>
            </w:r>
          </w:p>
        </w:tc>
        <w:tc>
          <w:tcPr>
            <w:tcW w:w="283" w:type="dxa"/>
            <w:vAlign w:val="center"/>
          </w:tcPr>
          <w:p w:rsidR="00327536" w:rsidRPr="00E92FB0" w:rsidRDefault="00327536" w:rsidP="00144886">
            <w:pPr>
              <w:spacing w:line="360" w:lineRule="auto"/>
              <w:jc w:val="center"/>
              <w:rPr>
                <w:rFonts w:ascii="Arial" w:hAnsi="Arial" w:cs="Arial"/>
                <w:b/>
                <w:sz w:val="18"/>
                <w:szCs w:val="18"/>
                <w:lang w:val="en-US"/>
              </w:rPr>
            </w:pPr>
          </w:p>
        </w:tc>
        <w:tc>
          <w:tcPr>
            <w:tcW w:w="1577"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256 MB DRAM</w:t>
            </w:r>
          </w:p>
        </w:tc>
        <w:tc>
          <w:tcPr>
            <w:tcW w:w="266"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327536" w:rsidRPr="00E92FB0" w:rsidRDefault="00327536" w:rsidP="00144886">
            <w:pPr>
              <w:spacing w:line="360" w:lineRule="auto"/>
              <w:jc w:val="center"/>
              <w:rPr>
                <w:rFonts w:ascii="Arial" w:hAnsi="Arial" w:cs="Arial"/>
                <w:b/>
                <w:sz w:val="18"/>
                <w:szCs w:val="18"/>
                <w:lang w:val="en-US"/>
              </w:rPr>
            </w:pPr>
            <w:r w:rsidRPr="00E92FB0">
              <w:rPr>
                <w:rFonts w:ascii="Arial" w:hAnsi="Arial" w:cs="Arial"/>
                <w:b/>
                <w:sz w:val="18"/>
                <w:szCs w:val="18"/>
                <w:lang w:val="en-US"/>
              </w:rPr>
              <w:t>5 W (typical)</w:t>
            </w:r>
          </w:p>
        </w:tc>
      </w:tr>
    </w:tbl>
    <w:p w:rsidR="00327536" w:rsidRPr="00E92FB0" w:rsidRDefault="00327536" w:rsidP="00327536">
      <w:pPr>
        <w:spacing w:line="360" w:lineRule="auto"/>
        <w:rPr>
          <w:rFonts w:ascii="Arial" w:hAnsi="Arial" w:cs="Arial"/>
          <w:sz w:val="22"/>
          <w:szCs w:val="22"/>
          <w:lang w:val="en-GB"/>
        </w:rPr>
      </w:pPr>
    </w:p>
    <w:p w:rsidR="00327536" w:rsidRPr="00E92FB0" w:rsidRDefault="00327536" w:rsidP="00327536">
      <w:pPr>
        <w:spacing w:line="360" w:lineRule="auto"/>
        <w:rPr>
          <w:rFonts w:ascii="Arial" w:hAnsi="Arial" w:cs="Arial"/>
          <w:sz w:val="22"/>
          <w:szCs w:val="22"/>
          <w:lang w:val="en-GB"/>
        </w:rPr>
      </w:pPr>
    </w:p>
    <w:p w:rsidR="00327536" w:rsidRPr="00E92FB0" w:rsidRDefault="00327536" w:rsidP="00327536">
      <w:pPr>
        <w:spacing w:line="360" w:lineRule="auto"/>
        <w:rPr>
          <w:rFonts w:ascii="Arial" w:hAnsi="Arial" w:cs="Arial"/>
          <w:sz w:val="22"/>
          <w:szCs w:val="22"/>
        </w:rPr>
      </w:pPr>
      <w:r w:rsidRPr="00E92FB0">
        <w:rPr>
          <w:rFonts w:ascii="Arial" w:hAnsi="Arial" w:cs="Arial"/>
          <w:sz w:val="22"/>
          <w:szCs w:val="22"/>
        </w:rPr>
        <w:t>Pour plus d’information sur les Computer-on-Module conga-XLX, visiter la page</w:t>
      </w:r>
    </w:p>
    <w:p w:rsidR="00327536" w:rsidRPr="00E92FB0" w:rsidRDefault="00327536" w:rsidP="00327536">
      <w:pPr>
        <w:spacing w:line="360" w:lineRule="auto"/>
        <w:rPr>
          <w:rFonts w:ascii="Arial" w:hAnsi="Arial" w:cs="Arial"/>
          <w:sz w:val="22"/>
          <w:szCs w:val="22"/>
        </w:rPr>
      </w:pPr>
      <w:hyperlink r:id="rId12" w:history="1">
        <w:r w:rsidRPr="00E92FB0">
          <w:rPr>
            <w:rStyle w:val="Hyperlink"/>
            <w:rFonts w:ascii="Arial" w:hAnsi="Arial" w:cs="Arial"/>
            <w:sz w:val="22"/>
            <w:szCs w:val="22"/>
          </w:rPr>
          <w:t>http://www.congatec.com/en/products/xtx/conga-xlx.html</w:t>
        </w:r>
      </w:hyperlink>
    </w:p>
    <w:p w:rsidR="00327536" w:rsidRPr="00E92FB0" w:rsidRDefault="00327536" w:rsidP="00327536">
      <w:pPr>
        <w:spacing w:line="360" w:lineRule="auto"/>
        <w:rPr>
          <w:rFonts w:ascii="Arial" w:hAnsi="Arial" w:cs="Arial"/>
          <w:b/>
          <w:sz w:val="18"/>
          <w:szCs w:val="18"/>
        </w:rPr>
      </w:pPr>
    </w:p>
    <w:p w:rsidR="00327536" w:rsidRPr="00E92FB0" w:rsidRDefault="00327536" w:rsidP="00327536">
      <w:pPr>
        <w:spacing w:line="360" w:lineRule="auto"/>
        <w:rPr>
          <w:rFonts w:ascii="Arial" w:hAnsi="Arial" w:cs="Arial"/>
          <w:sz w:val="22"/>
          <w:szCs w:val="22"/>
        </w:rPr>
      </w:pPr>
      <w:r w:rsidRPr="00E92FB0">
        <w:rPr>
          <w:rFonts w:ascii="Arial" w:hAnsi="Arial" w:cs="Arial"/>
          <w:sz w:val="22"/>
          <w:szCs w:val="22"/>
        </w:rPr>
        <w:t>Pour plus d’information sur les Computer-on-Module conga-ELX, visiter la page</w:t>
      </w:r>
    </w:p>
    <w:p w:rsidR="00327536" w:rsidRPr="00E92FB0" w:rsidRDefault="00327536" w:rsidP="00327536">
      <w:pPr>
        <w:spacing w:line="360" w:lineRule="auto"/>
        <w:rPr>
          <w:rFonts w:ascii="Arial" w:hAnsi="Arial" w:cs="Arial"/>
          <w:sz w:val="22"/>
          <w:szCs w:val="22"/>
        </w:rPr>
      </w:pPr>
      <w:hyperlink r:id="rId13" w:history="1">
        <w:r w:rsidRPr="00E92FB0">
          <w:rPr>
            <w:rStyle w:val="Hyperlink"/>
            <w:rFonts w:ascii="Arial" w:hAnsi="Arial" w:cs="Arial"/>
            <w:sz w:val="22"/>
            <w:szCs w:val="22"/>
          </w:rPr>
          <w:t>http://www.congatec.com/en/products/etx.html</w:t>
        </w:r>
      </w:hyperlink>
    </w:p>
    <w:p w:rsidR="00224FBE" w:rsidRPr="00327536"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proofErr w:type="gramStart"/>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4"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5"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6" w:history="1">
        <w:r w:rsidR="00931403" w:rsidRPr="00EE168D">
          <w:rPr>
            <w:rStyle w:val="Hyperlink"/>
            <w:rFonts w:ascii="Arial" w:hAnsi="Arial" w:cs="Arial"/>
            <w:sz w:val="16"/>
            <w:szCs w:val="16"/>
            <w:lang w:eastAsia="ar-SA" w:bidi="ar-SA"/>
          </w:rPr>
          <w:t>Twitter</w:t>
        </w:r>
      </w:hyperlink>
      <w:r w:rsidR="00931403" w:rsidRPr="00EE168D">
        <w:rPr>
          <w:rFonts w:ascii="Arial" w:hAnsi="Arial" w:cs="Arial"/>
          <w:bCs/>
          <w:sz w:val="16"/>
          <w:szCs w:val="16"/>
          <w:lang w:eastAsia="ar-SA" w:bidi="ar-SA"/>
        </w:rPr>
        <w:t xml:space="preserve"> and </w:t>
      </w:r>
      <w:hyperlink r:id="rId17"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0B6426" w:rsidRPr="0082316B" w:rsidRDefault="000B6426" w:rsidP="000B6426">
      <w:pPr>
        <w:pStyle w:val="Standard1"/>
        <w:rPr>
          <w:rFonts w:ascii="Arial" w:hAnsi="Arial" w:cs="Arial"/>
          <w:b/>
          <w:bCs/>
          <w:sz w:val="16"/>
          <w:szCs w:val="16"/>
          <w:lang w:val="en-US"/>
        </w:rPr>
      </w:pPr>
      <w:r w:rsidRPr="0082316B">
        <w:rPr>
          <w:rFonts w:ascii="Arial" w:hAnsi="Arial" w:cs="Arial"/>
          <w:b/>
          <w:bCs/>
          <w:sz w:val="16"/>
          <w:szCs w:val="16"/>
          <w:lang w:val="en-US"/>
        </w:rPr>
        <w:t xml:space="preserve">About AMD </w:t>
      </w:r>
    </w:p>
    <w:p w:rsidR="000B6426" w:rsidRPr="00772B41" w:rsidRDefault="000B6426" w:rsidP="000B6426">
      <w:pPr>
        <w:pStyle w:val="Standard1"/>
        <w:rPr>
          <w:rFonts w:ascii="Arial" w:hAnsi="Arial" w:cs="Arial"/>
          <w:sz w:val="16"/>
          <w:szCs w:val="16"/>
          <w:lang w:val="en-US"/>
        </w:rPr>
      </w:pPr>
      <w:r w:rsidRPr="00772B41">
        <w:rPr>
          <w:rFonts w:ascii="Arial" w:hAnsi="Arial" w:cs="Arial"/>
          <w:sz w:val="16"/>
          <w:szCs w:val="16"/>
          <w:lang w:val="en-US"/>
        </w:rPr>
        <w:t>For more than 45 years AMD has driven innovation in high-performance computing, graphics and visualization technologies ― the building blocks for gaming, immersive platforms, and the datacenter. Hundreds of millions of consumers, leading Fortune 500 businesses and cutting-edge scientific research facilities around the world rely on AMD technology daily to improve how they live, work and play. AMD employees around the world are focused on building great products that push the boundaries of what is possible. For more information about how AMD is enabling today and inspiring tomorrow, visit the AMD (NASDAQ: AMD)</w:t>
      </w:r>
      <w:r>
        <w:rPr>
          <w:rFonts w:ascii="Arial" w:hAnsi="Arial" w:cs="Arial"/>
          <w:sz w:val="16"/>
          <w:szCs w:val="16"/>
          <w:lang w:val="en-US"/>
        </w:rPr>
        <w:t xml:space="preserve"> </w:t>
      </w:r>
      <w:hyperlink r:id="rId18" w:history="1">
        <w:r w:rsidRPr="0082316B">
          <w:rPr>
            <w:rStyle w:val="Hyperlink"/>
            <w:rFonts w:ascii="Arial" w:hAnsi="Arial" w:cs="Arial"/>
            <w:sz w:val="16"/>
            <w:szCs w:val="16"/>
            <w:lang w:val="en-US"/>
          </w:rPr>
          <w:t>website</w:t>
        </w:r>
      </w:hyperlink>
      <w:r>
        <w:rPr>
          <w:rFonts w:ascii="Arial" w:hAnsi="Arial" w:cs="Arial"/>
          <w:sz w:val="16"/>
          <w:szCs w:val="16"/>
          <w:lang w:val="en-US"/>
        </w:rPr>
        <w:t xml:space="preserve">, </w:t>
      </w:r>
      <w:hyperlink r:id="rId19" w:history="1">
        <w:r w:rsidRPr="0082316B">
          <w:rPr>
            <w:rStyle w:val="Hyperlink"/>
            <w:rFonts w:ascii="Arial" w:hAnsi="Arial" w:cs="Arial"/>
            <w:sz w:val="16"/>
            <w:szCs w:val="16"/>
            <w:lang w:val="en-US"/>
          </w:rPr>
          <w:t>blog</w:t>
        </w:r>
      </w:hyperlink>
      <w:r>
        <w:rPr>
          <w:rFonts w:ascii="Arial" w:hAnsi="Arial" w:cs="Arial"/>
          <w:sz w:val="16"/>
          <w:szCs w:val="16"/>
          <w:lang w:val="en-US"/>
        </w:rPr>
        <w:t xml:space="preserve">, and </w:t>
      </w:r>
      <w:hyperlink r:id="rId20" w:history="1">
        <w:r w:rsidRPr="0082316B">
          <w:rPr>
            <w:rStyle w:val="Hyperlink"/>
            <w:rFonts w:ascii="Arial" w:hAnsi="Arial" w:cs="Arial"/>
            <w:sz w:val="16"/>
            <w:szCs w:val="16"/>
            <w:lang w:val="en-US"/>
          </w:rPr>
          <w:t>Facebook</w:t>
        </w:r>
      </w:hyperlink>
      <w:r>
        <w:rPr>
          <w:rFonts w:ascii="Arial" w:hAnsi="Arial" w:cs="Arial"/>
          <w:sz w:val="16"/>
          <w:szCs w:val="16"/>
          <w:lang w:val="en-US"/>
        </w:rPr>
        <w:t xml:space="preserve"> and </w:t>
      </w:r>
      <w:hyperlink r:id="rId21" w:history="1">
        <w:r w:rsidRPr="0082316B">
          <w:rPr>
            <w:rStyle w:val="Hyperlink"/>
            <w:rFonts w:ascii="Arial" w:hAnsi="Arial" w:cs="Arial"/>
            <w:sz w:val="16"/>
            <w:szCs w:val="16"/>
            <w:lang w:val="en-US"/>
          </w:rPr>
          <w:t>Twitter</w:t>
        </w:r>
      </w:hyperlink>
      <w:r w:rsidRPr="00772B41">
        <w:rPr>
          <w:rFonts w:ascii="Arial" w:hAnsi="Arial" w:cs="Arial"/>
          <w:sz w:val="16"/>
          <w:szCs w:val="16"/>
          <w:lang w:val="en-US"/>
        </w:rPr>
        <w:t>.</w:t>
      </w:r>
    </w:p>
    <w:p w:rsidR="000B6426" w:rsidRPr="00772B41" w:rsidRDefault="000B6426" w:rsidP="000B6426">
      <w:pPr>
        <w:pStyle w:val="Standard1"/>
        <w:rPr>
          <w:rFonts w:ascii="Arial" w:hAnsi="Arial" w:cs="Arial"/>
          <w:sz w:val="16"/>
          <w:szCs w:val="16"/>
          <w:lang w:val="en-US"/>
        </w:rPr>
      </w:pPr>
    </w:p>
    <w:p w:rsidR="000B6426" w:rsidRPr="00772B41" w:rsidRDefault="000B6426" w:rsidP="000B6426">
      <w:pPr>
        <w:pStyle w:val="Standard1"/>
        <w:rPr>
          <w:rFonts w:ascii="Arial" w:hAnsi="Arial" w:cs="Arial"/>
          <w:sz w:val="16"/>
          <w:szCs w:val="16"/>
          <w:lang w:val="en-US"/>
        </w:rPr>
      </w:pPr>
      <w:r w:rsidRPr="00772B41">
        <w:rPr>
          <w:rFonts w:ascii="Arial" w:hAnsi="Arial" w:cs="Arial"/>
          <w:sz w:val="16"/>
          <w:szCs w:val="16"/>
          <w:lang w:val="en-US"/>
        </w:rPr>
        <w:t xml:space="preserve">AMD, the AMD Arrow logo, </w:t>
      </w:r>
      <w:r>
        <w:rPr>
          <w:rFonts w:ascii="Arial" w:hAnsi="Arial" w:cs="Arial"/>
          <w:sz w:val="16"/>
          <w:szCs w:val="16"/>
          <w:lang w:val="en-US"/>
        </w:rPr>
        <w:t>AMD Geode</w:t>
      </w:r>
      <w:r w:rsidRPr="00772B41">
        <w:rPr>
          <w:rFonts w:ascii="Arial" w:hAnsi="Arial" w:cs="Arial"/>
          <w:sz w:val="16"/>
          <w:szCs w:val="16"/>
          <w:lang w:val="en-US"/>
        </w:rPr>
        <w:t xml:space="preserve">, and combinations thereof are trademarks of Advanced Micro Devices, Inc. </w:t>
      </w:r>
    </w:p>
    <w:p w:rsidR="003E417C" w:rsidRPr="000B6426" w:rsidRDefault="003E417C" w:rsidP="000B6426">
      <w:pPr>
        <w:pStyle w:val="Standard1"/>
        <w:spacing w:line="200" w:lineRule="atLeast"/>
        <w:jc w:val="center"/>
        <w:rPr>
          <w:rFonts w:ascii="Arial" w:hAnsi="Arial" w:cs="Arial"/>
          <w:i/>
          <w:iCs/>
          <w:sz w:val="18"/>
          <w:szCs w:val="18"/>
          <w:lang w:val="en-US"/>
        </w:rPr>
      </w:pPr>
    </w:p>
    <w:sectPr w:rsidR="003E417C" w:rsidRPr="000B6426"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6426"/>
    <w:rsid w:val="000B789D"/>
    <w:rsid w:val="000C0AD7"/>
    <w:rsid w:val="000D3D55"/>
    <w:rsid w:val="000D460B"/>
    <w:rsid w:val="000D5930"/>
    <w:rsid w:val="000F3F26"/>
    <w:rsid w:val="000F54CE"/>
    <w:rsid w:val="00106386"/>
    <w:rsid w:val="00110FAD"/>
    <w:rsid w:val="001137E5"/>
    <w:rsid w:val="0012566D"/>
    <w:rsid w:val="0013281A"/>
    <w:rsid w:val="00133E0B"/>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061A6"/>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536"/>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04EA"/>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0048D"/>
    <w:rsid w:val="005104F7"/>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C4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35DB1"/>
    <w:rsid w:val="00940AFB"/>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6D9C"/>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en/products/etx.html" TargetMode="External"/><Relationship Id="rId18" Type="http://schemas.openxmlformats.org/officeDocument/2006/relationships/hyperlink" Target="http://www.amd.com/" TargetMode="External"/><Relationship Id="rId3" Type="http://schemas.openxmlformats.org/officeDocument/2006/relationships/settings" Target="settings.xml"/><Relationship Id="rId21" Type="http://schemas.openxmlformats.org/officeDocument/2006/relationships/hyperlink" Target="https://twitter.com/amd" TargetMode="External"/><Relationship Id="rId7" Type="http://schemas.openxmlformats.org/officeDocument/2006/relationships/hyperlink" Target="http://www.congatec.com/" TargetMode="External"/><Relationship Id="rId12" Type="http://schemas.openxmlformats.org/officeDocument/2006/relationships/hyperlink" Target="http://www.congatec.com/en/products/xtx/conga-xlx.html"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20" Type="http://schemas.openxmlformats.org/officeDocument/2006/relationships/hyperlink" Target="https://www.facebook.com/AMD"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www.facebook.com/Congatec"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mmunity.amd.com/welcome" TargetMode="Externa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6046</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26</cp:revision>
  <cp:lastPrinted>2014-01-29T21:42:00Z</cp:lastPrinted>
  <dcterms:created xsi:type="dcterms:W3CDTF">2016-11-25T07:55:00Z</dcterms:created>
  <dcterms:modified xsi:type="dcterms:W3CDTF">2018-01-09T15:15:00Z</dcterms:modified>
</cp:coreProperties>
</file>