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Press contact: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1508C4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1508C4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1508C4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1508C4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08112C" w:rsidP="0008112C">
      <w:pPr>
        <w:tabs>
          <w:tab w:val="left" w:pos="39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:rsidR="002F0EC8" w:rsidRDefault="00F062D2" w:rsidP="00EC47A8">
      <w:pPr>
        <w:spacing w:after="120"/>
        <w:rPr>
          <w:rFonts w:ascii="Arial" w:hAnsi="Arial" w:cs="Arial"/>
          <w:i/>
          <w:noProof/>
          <w:sz w:val="16"/>
          <w:szCs w:val="16"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295400" cy="937311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-SA5_press new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93" cy="93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2C" w:rsidRDefault="00E54EDC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E54ED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The new conga-SA5 SMARC 2.0 computer module supports </w:t>
      </w:r>
      <w:r w:rsidR="00535AE7" w:rsidRPr="00E54EDC">
        <w:rPr>
          <w:rFonts w:ascii="Arial" w:hAnsi="Arial" w:cs="Arial"/>
          <w:i/>
          <w:noProof/>
          <w:sz w:val="16"/>
          <w:szCs w:val="16"/>
          <w:lang w:val="en-US" w:eastAsia="de-DE"/>
        </w:rPr>
        <w:t>USB</w:t>
      </w:r>
      <w:r w:rsidR="00535AE7">
        <w:rPr>
          <w:rFonts w:ascii="Arial" w:hAnsi="Arial" w:cs="Arial"/>
          <w:i/>
          <w:noProof/>
          <w:sz w:val="16"/>
          <w:szCs w:val="16"/>
          <w:lang w:val="en-US" w:eastAsia="de-DE"/>
        </w:rPr>
        <w:t>-</w:t>
      </w:r>
      <w:r w:rsidRPr="00E54ED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C </w:t>
      </w:r>
      <w:r w:rsidR="005C61B0">
        <w:rPr>
          <w:rFonts w:ascii="Arial" w:hAnsi="Arial" w:cs="Arial"/>
          <w:i/>
          <w:noProof/>
          <w:sz w:val="16"/>
          <w:szCs w:val="16"/>
          <w:lang w:val="en-US" w:eastAsia="de-DE"/>
        </w:rPr>
        <w:t>for more standardized interface setup</w:t>
      </w:r>
    </w:p>
    <w:p w:rsidR="00EC47A8" w:rsidRPr="00C14DD2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0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="006A6717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C14DD2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C14DD2">
        <w:rPr>
          <w:rFonts w:ascii="Arial" w:hAnsi="Arial" w:cs="Arial"/>
          <w:b/>
          <w:u w:val="single"/>
          <w:lang w:val="en-US"/>
        </w:rPr>
        <w:t xml:space="preserve">Press release </w:t>
      </w:r>
    </w:p>
    <w:p w:rsidR="00D108AC" w:rsidRPr="00C14DD2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CA519C" w:rsidRPr="005824A1" w:rsidRDefault="00AF0BCC" w:rsidP="00CA519C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5824A1">
        <w:rPr>
          <w:rFonts w:ascii="Arial" w:hAnsi="Arial" w:cs="Arial"/>
          <w:bCs/>
          <w:sz w:val="22"/>
          <w:szCs w:val="22"/>
          <w:lang w:val="en-US"/>
        </w:rPr>
        <w:t>N</w:t>
      </w:r>
      <w:r w:rsidR="00CA519C" w:rsidRPr="005824A1">
        <w:rPr>
          <w:rFonts w:ascii="Arial" w:hAnsi="Arial" w:cs="Arial"/>
          <w:bCs/>
          <w:sz w:val="22"/>
          <w:szCs w:val="22"/>
          <w:lang w:val="en-US"/>
        </w:rPr>
        <w:t xml:space="preserve">ew </w:t>
      </w:r>
      <w:r w:rsidRPr="005824A1">
        <w:rPr>
          <w:rFonts w:ascii="Arial" w:hAnsi="Arial" w:cs="Arial"/>
          <w:bCs/>
          <w:sz w:val="22"/>
          <w:szCs w:val="22"/>
          <w:lang w:val="en-US"/>
        </w:rPr>
        <w:t>con</w:t>
      </w:r>
      <w:r w:rsidR="00C15CAE" w:rsidRPr="005824A1">
        <w:rPr>
          <w:rFonts w:ascii="Arial" w:hAnsi="Arial" w:cs="Arial"/>
          <w:bCs/>
          <w:sz w:val="22"/>
          <w:szCs w:val="22"/>
          <w:lang w:val="en-US"/>
        </w:rPr>
        <w:t>g</w:t>
      </w:r>
      <w:r w:rsidRPr="005824A1">
        <w:rPr>
          <w:rFonts w:ascii="Arial" w:hAnsi="Arial" w:cs="Arial"/>
          <w:bCs/>
          <w:sz w:val="22"/>
          <w:szCs w:val="22"/>
          <w:lang w:val="en-US"/>
        </w:rPr>
        <w:t xml:space="preserve">atec </w:t>
      </w:r>
      <w:r w:rsidR="0002480D" w:rsidRPr="005824A1">
        <w:rPr>
          <w:rFonts w:ascii="Arial" w:hAnsi="Arial" w:cs="Arial"/>
          <w:bCs/>
          <w:sz w:val="22"/>
          <w:szCs w:val="22"/>
          <w:lang w:val="en-US"/>
        </w:rPr>
        <w:t>SMARC 2.0 module</w:t>
      </w:r>
      <w:r w:rsidR="003950C9" w:rsidRPr="005824A1">
        <w:rPr>
          <w:rFonts w:ascii="Arial" w:hAnsi="Arial" w:cs="Arial"/>
          <w:bCs/>
          <w:sz w:val="22"/>
          <w:szCs w:val="22"/>
          <w:lang w:val="en-US"/>
        </w:rPr>
        <w:t>s</w:t>
      </w:r>
      <w:r w:rsidR="0002480D" w:rsidRPr="005824A1">
        <w:rPr>
          <w:rFonts w:ascii="Arial" w:hAnsi="Arial" w:cs="Arial"/>
          <w:bCs/>
          <w:sz w:val="22"/>
          <w:szCs w:val="22"/>
          <w:lang w:val="en-US"/>
        </w:rPr>
        <w:t xml:space="preserve"> support USB</w:t>
      </w:r>
      <w:r w:rsidR="008C7242" w:rsidRPr="005824A1">
        <w:rPr>
          <w:rFonts w:ascii="Arial" w:hAnsi="Arial" w:cs="Arial"/>
          <w:bCs/>
          <w:sz w:val="22"/>
          <w:szCs w:val="22"/>
          <w:lang w:val="en-US"/>
        </w:rPr>
        <w:t>-</w:t>
      </w:r>
      <w:r w:rsidR="0002480D" w:rsidRPr="005824A1">
        <w:rPr>
          <w:rFonts w:ascii="Arial" w:hAnsi="Arial" w:cs="Arial"/>
          <w:bCs/>
          <w:sz w:val="22"/>
          <w:szCs w:val="22"/>
          <w:lang w:val="en-US"/>
        </w:rPr>
        <w:t>C</w:t>
      </w:r>
    </w:p>
    <w:p w:rsidR="00BD5B82" w:rsidRPr="00C14DD2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CA519C" w:rsidRPr="00CA519C" w:rsidRDefault="00CA519C" w:rsidP="00CA519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CA519C">
        <w:rPr>
          <w:rFonts w:ascii="Arial" w:hAnsi="Arial" w:cs="Arial"/>
          <w:b/>
          <w:bCs/>
          <w:sz w:val="28"/>
          <w:szCs w:val="28"/>
          <w:lang w:val="en-US"/>
        </w:rPr>
        <w:t>congatec</w:t>
      </w:r>
      <w:proofErr w:type="gramEnd"/>
      <w:r w:rsidRPr="00CA519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02480D">
        <w:rPr>
          <w:rFonts w:ascii="Arial" w:hAnsi="Arial" w:cs="Arial"/>
          <w:b/>
          <w:bCs/>
          <w:sz w:val="28"/>
          <w:szCs w:val="28"/>
          <w:lang w:val="en-US"/>
        </w:rPr>
        <w:t>further standardizes interface setup</w:t>
      </w:r>
      <w:r w:rsidR="003A464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CA519C">
        <w:rPr>
          <w:rFonts w:ascii="Arial" w:hAnsi="Arial" w:cs="Arial"/>
          <w:b/>
          <w:bCs/>
          <w:sz w:val="28"/>
          <w:szCs w:val="28"/>
          <w:lang w:val="en-US"/>
        </w:rPr>
        <w:t>for SMARC 2.0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CA519C" w:rsidRPr="00C14DD2" w:rsidRDefault="00F27EB6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>/Nuremberg</w:t>
      </w:r>
      <w:r w:rsidR="003C5916"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3C5916" w:rsidRPr="00C14DD2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Germany</w:t>
      </w:r>
      <w:r w:rsidR="003C5916"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CA519C">
        <w:rPr>
          <w:rStyle w:val="Kommentarzeichen1"/>
          <w:rFonts w:ascii="Arial" w:hAnsi="Arial" w:cs="Arial"/>
          <w:b/>
          <w:sz w:val="22"/>
          <w:szCs w:val="22"/>
          <w:lang w:val="en-US"/>
        </w:rPr>
        <w:t>March</w:t>
      </w:r>
      <w:r w:rsidR="003C5916"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CA519C">
        <w:rPr>
          <w:rFonts w:ascii="Arial" w:hAnsi="Arial" w:cs="Arial"/>
          <w:b/>
          <w:color w:val="000000"/>
          <w:sz w:val="22"/>
          <w:szCs w:val="22"/>
          <w:lang w:val="en-US"/>
        </w:rPr>
        <w:t>14</w:t>
      </w:r>
      <w:r w:rsidR="00735068"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="003C5916"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>201</w:t>
      </w:r>
      <w:r w:rsidR="00CA519C">
        <w:rPr>
          <w:rFonts w:ascii="Arial" w:hAnsi="Arial" w:cs="Arial"/>
          <w:b/>
          <w:color w:val="000000"/>
          <w:sz w:val="22"/>
          <w:szCs w:val="22"/>
          <w:lang w:val="en-US"/>
        </w:rPr>
        <w:t>7</w:t>
      </w:r>
      <w:r w:rsidR="003C5916"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* * *</w:t>
      </w:r>
      <w:r w:rsidR="003C5916" w:rsidRPr="00C14DD2">
        <w:rPr>
          <w:rFonts w:ascii="Arial" w:hAnsi="Arial" w:cs="Arial"/>
          <w:sz w:val="22"/>
          <w:szCs w:val="22"/>
          <w:lang w:val="en-US"/>
        </w:rPr>
        <w:t xml:space="preserve"> </w:t>
      </w:r>
      <w:r w:rsidR="00842DDA" w:rsidRPr="00C14DD2">
        <w:rPr>
          <w:rFonts w:ascii="Arial" w:hAnsi="Arial" w:cs="Arial"/>
          <w:sz w:val="22"/>
          <w:szCs w:val="22"/>
          <w:lang w:val="en-GB"/>
        </w:rPr>
        <w:t>congatec</w:t>
      </w:r>
      <w:r w:rsidR="005C4223" w:rsidRPr="00C14DD2">
        <w:rPr>
          <w:rFonts w:ascii="Arial" w:hAnsi="Arial" w:cs="Arial"/>
          <w:sz w:val="22"/>
          <w:szCs w:val="22"/>
          <w:lang w:val="en-GB"/>
        </w:rPr>
        <w:t xml:space="preserve"> –</w:t>
      </w:r>
      <w:r w:rsidR="003C5916" w:rsidRPr="00C14DD2">
        <w:rPr>
          <w:rFonts w:ascii="Arial" w:hAnsi="Arial" w:cs="Arial"/>
          <w:sz w:val="22"/>
          <w:szCs w:val="22"/>
          <w:lang w:val="en-GB"/>
        </w:rPr>
        <w:t xml:space="preserve"> a leading technology company for embedded computer modules, single board computers</w:t>
      </w:r>
      <w:r w:rsidR="002D516E" w:rsidRPr="00C14DD2">
        <w:rPr>
          <w:rFonts w:ascii="Arial" w:hAnsi="Arial" w:cs="Arial"/>
          <w:sz w:val="22"/>
          <w:szCs w:val="22"/>
          <w:lang w:val="en-GB"/>
        </w:rPr>
        <w:t xml:space="preserve"> </w:t>
      </w:r>
      <w:r w:rsidR="003C5916" w:rsidRPr="00C14DD2">
        <w:rPr>
          <w:rFonts w:ascii="Arial" w:hAnsi="Arial" w:cs="Arial"/>
          <w:sz w:val="22"/>
          <w:szCs w:val="22"/>
          <w:lang w:val="en-GB"/>
        </w:rPr>
        <w:t xml:space="preserve">and </w:t>
      </w:r>
      <w:r w:rsidR="003C5916" w:rsidRPr="00C14DD2">
        <w:rPr>
          <w:rFonts w:ascii="Arial" w:hAnsi="Arial" w:cs="Arial"/>
          <w:color w:val="000000"/>
          <w:sz w:val="22"/>
          <w:szCs w:val="22"/>
          <w:lang w:val="en-GB"/>
        </w:rPr>
        <w:t xml:space="preserve">embedded design and manufacturing </w:t>
      </w:r>
      <w:r w:rsidR="003C5916" w:rsidRPr="00C14DD2">
        <w:rPr>
          <w:rFonts w:ascii="Arial" w:hAnsi="Arial" w:cs="Arial"/>
          <w:sz w:val="22"/>
          <w:szCs w:val="22"/>
          <w:lang w:val="en-GB"/>
        </w:rPr>
        <w:t>services</w:t>
      </w:r>
      <w:r w:rsidR="002F1EC9" w:rsidRPr="00C14D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C4223" w:rsidRPr="00C14D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–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introduces 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SMARC 2.0 modules </w:t>
      </w:r>
      <w:r w:rsidR="00483B5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supporting </w:t>
      </w:r>
      <w:r w:rsidR="003240DA">
        <w:rPr>
          <w:rStyle w:val="Kommentarzeichen1"/>
          <w:rFonts w:ascii="Arial" w:hAnsi="Arial" w:cs="Arial"/>
          <w:sz w:val="22"/>
          <w:szCs w:val="22"/>
          <w:lang w:val="en-US"/>
        </w:rPr>
        <w:t>powerful</w:t>
      </w:r>
      <w:r w:rsidR="00CF09F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90739B">
        <w:rPr>
          <w:rStyle w:val="Kommentarzeichen1"/>
          <w:rFonts w:ascii="Arial" w:hAnsi="Arial" w:cs="Arial"/>
          <w:sz w:val="22"/>
          <w:szCs w:val="22"/>
          <w:lang w:val="en-US"/>
        </w:rPr>
        <w:noBreakHyphen/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>C connectivity</w:t>
      </w:r>
      <w:r w:rsidR="00FC703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Embedded World </w:t>
      </w:r>
      <w:r w:rsidR="009F076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(hall 1, stand 358) </w:t>
      </w:r>
      <w:r w:rsidR="00FC7032">
        <w:rPr>
          <w:rStyle w:val="Kommentarzeichen1"/>
          <w:rFonts w:ascii="Arial" w:hAnsi="Arial" w:cs="Arial"/>
          <w:sz w:val="22"/>
          <w:szCs w:val="22"/>
          <w:lang w:val="en-US"/>
        </w:rPr>
        <w:t>today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>. The utilization of the USB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specification makes USB interconnects </w:t>
      </w:r>
      <w:r w:rsidR="0002480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even more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>universally applicable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>further standardiz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t>ing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2480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interface setup of 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SMARC 2.0 based </w:t>
      </w:r>
      <w:r w:rsidR="0002480D">
        <w:rPr>
          <w:rStyle w:val="Kommentarzeichen1"/>
          <w:rFonts w:ascii="Arial" w:hAnsi="Arial" w:cs="Arial"/>
          <w:sz w:val="22"/>
          <w:szCs w:val="22"/>
          <w:lang w:val="en-US"/>
        </w:rPr>
        <w:t>embedded devices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System designers can use </w:t>
      </w:r>
      <w:r w:rsidR="0002480D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noBreakHyphen/>
      </w:r>
      <w:r w:rsidR="0002480D">
        <w:rPr>
          <w:rStyle w:val="Kommentarzeichen1"/>
          <w:rFonts w:ascii="Arial" w:hAnsi="Arial" w:cs="Arial"/>
          <w:sz w:val="22"/>
          <w:szCs w:val="22"/>
          <w:lang w:val="en-US"/>
        </w:rPr>
        <w:t>C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standard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peripherals </w:t>
      </w:r>
      <w:r w:rsidR="00F444E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USB 3.1 to USB 1.0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 w:rsidR="0049262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– </w:t>
      </w:r>
      <w:r w:rsidR="009D7F33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brand new </w:t>
      </w:r>
      <w:r w:rsidR="009D7F3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option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– for 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connecting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displays or even the power supply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to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system or peripheral device</w:t>
      </w:r>
      <w:r w:rsidR="008C7242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reducing cabling efforts to a single cable. </w:t>
      </w:r>
      <w:r w:rsidR="003F33C3" w:rsidRPr="003F33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 addition, the current data throughput of up to 5 Gigabit/s in line with the USB 3.1 specification serves as a turbo charger for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data intensive applications. </w:t>
      </w:r>
      <w:r w:rsidR="00E97FC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Based on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Intel</w:t>
      </w:r>
      <w:r w:rsidR="0049262D" w:rsidRPr="0049262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Atom</w:t>
      </w:r>
      <w:r w:rsidR="0049262D" w:rsidRPr="0049262D">
        <w:rPr>
          <w:rFonts w:ascii="Arial" w:hAnsi="Arial" w:cs="Arial"/>
          <w:sz w:val="22"/>
          <w:szCs w:val="22"/>
          <w:lang w:val="en-US"/>
        </w:rPr>
        <w:t>™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, Celeron</w:t>
      </w:r>
      <w:r w:rsidR="0049262D" w:rsidRPr="0049262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or Pentium</w:t>
      </w:r>
      <w:r w:rsidR="0049262D" w:rsidRPr="0049262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processor</w:t>
      </w:r>
      <w:r w:rsidR="00E97FC6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(codename Apollo Lake)</w:t>
      </w:r>
      <w:r w:rsidR="00E97FC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typical applications for </w:t>
      </w:r>
      <w:r w:rsidR="00FA10E1">
        <w:rPr>
          <w:rStyle w:val="Kommentarzeichen1"/>
          <w:rFonts w:ascii="Arial" w:hAnsi="Arial" w:cs="Arial"/>
          <w:sz w:val="22"/>
          <w:szCs w:val="22"/>
          <w:lang w:val="en-US"/>
        </w:rPr>
        <w:t>SMARC 2.0 design</w:t>
      </w:r>
      <w:r w:rsidR="00E97FC6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FA10E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are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F0BC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handhelds and other mobile </w:t>
      </w:r>
      <w:bookmarkStart w:id="0" w:name="_GoBack"/>
      <w:bookmarkEnd w:id="0"/>
      <w:r w:rsidR="00AF0BC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devices, in-vehicle devices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 w:rsidR="00AF0BCC">
        <w:rPr>
          <w:rStyle w:val="Kommentarzeichen1"/>
          <w:rFonts w:ascii="Arial" w:hAnsi="Arial" w:cs="Arial"/>
          <w:sz w:val="22"/>
          <w:szCs w:val="22"/>
          <w:lang w:val="en-US"/>
        </w:rPr>
        <w:t>stationary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F0BC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embedded and IoT </w:t>
      </w:r>
      <w:r w:rsidR="00CA519C">
        <w:rPr>
          <w:rStyle w:val="Kommentarzeichen1"/>
          <w:rFonts w:ascii="Arial" w:hAnsi="Arial" w:cs="Arial"/>
          <w:sz w:val="22"/>
          <w:szCs w:val="22"/>
          <w:lang w:val="en-US"/>
        </w:rPr>
        <w:t>systems with low power and high performance demands</w:t>
      </w:r>
      <w:r w:rsidR="00AF0BCC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4F40D2" w:rsidRDefault="004F40D2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F0BCC" w:rsidRDefault="00AF0BCC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By introducing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th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is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universal</w:t>
      </w:r>
      <w:r w:rsidR="00712C41">
        <w:rPr>
          <w:rStyle w:val="Kommentarzeichen1"/>
          <w:rFonts w:ascii="Arial" w:hAnsi="Arial" w:cs="Arial"/>
          <w:sz w:val="22"/>
          <w:szCs w:val="22"/>
          <w:lang w:val="en-US"/>
        </w:rPr>
        <w:t>ly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applicable form of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plug &amp; play </w:t>
      </w:r>
      <w:r w:rsidR="00966EA1">
        <w:rPr>
          <w:rStyle w:val="Kommentarzeichen1"/>
          <w:rFonts w:ascii="Arial" w:hAnsi="Arial" w:cs="Arial"/>
          <w:sz w:val="22"/>
          <w:szCs w:val="22"/>
          <w:lang w:val="en-US"/>
        </w:rPr>
        <w:t>functionality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, congatec greatly simplifies the use of embedded technology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Fully featured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jacks are 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still rare and present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4F0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real breakthrough for </w:t>
      </w:r>
      <w:r w:rsidR="001E628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standardizing the </w:t>
      </w:r>
      <w:r w:rsidR="00C513B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fragmented </w:t>
      </w:r>
      <w:r w:rsidR="001E628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world of 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>cable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based external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interconnects</w:t>
      </w:r>
      <w:r w:rsidR="004F0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Such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standardization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very beneficial for system engineers</w:t>
      </w:r>
      <w:r w:rsidR="00FA10E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A10E1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as well as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system integrators</w:t>
      </w:r>
      <w:r w:rsidR="00FA10E1">
        <w:rPr>
          <w:rStyle w:val="Kommentarzeichen1"/>
          <w:rFonts w:ascii="Arial" w:hAnsi="Arial" w:cs="Arial"/>
          <w:sz w:val="22"/>
          <w:szCs w:val="22"/>
          <w:lang w:val="en-US"/>
        </w:rPr>
        <w:t>, administrators</w:t>
      </w:r>
      <w:r w:rsidR="009833C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device </w:t>
      </w:r>
      <w:r w:rsidR="009833C7">
        <w:rPr>
          <w:rStyle w:val="Kommentarzeichen1"/>
          <w:rFonts w:ascii="Arial" w:hAnsi="Arial" w:cs="Arial"/>
          <w:sz w:val="22"/>
          <w:szCs w:val="22"/>
          <w:lang w:val="en-US"/>
        </w:rPr>
        <w:t>users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>System e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ngineers don’t need to think about the interface setup anymore. They only need to specify the number of 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compliant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peripherals they want to interconnect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design in USB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C interfaces accordingly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. And 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ystem integrators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can plug their USB</w:t>
      </w:r>
      <w:r w:rsidR="003E662F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compliant peripherals in any 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90739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>jack available on the board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it works</w:t>
      </w:r>
      <w:r w:rsidR="002036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Now, doesn’t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that 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sound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fantastic? We know that we are 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only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at the beginning of this evolution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that </w:t>
      </w:r>
      <w:r w:rsidR="00AF725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100% availability of 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>fully featured USB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noBreakHyphen/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jacks </w:t>
      </w:r>
      <w:r w:rsidR="00AF725E">
        <w:rPr>
          <w:rStyle w:val="Kommentarzeichen1"/>
          <w:rFonts w:ascii="Arial" w:hAnsi="Arial" w:cs="Arial"/>
          <w:sz w:val="22"/>
          <w:szCs w:val="22"/>
          <w:lang w:val="en-US"/>
        </w:rPr>
        <w:t>is still</w:t>
      </w:r>
      <w:r w:rsidR="005C61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vision</w:t>
      </w:r>
      <w:r w:rsidR="00AF725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today</w:t>
      </w:r>
      <w:r w:rsidR="00031C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2146A">
        <w:rPr>
          <w:rStyle w:val="Kommentarzeichen1"/>
          <w:rFonts w:ascii="Arial" w:hAnsi="Arial" w:cs="Arial"/>
          <w:sz w:val="22"/>
          <w:szCs w:val="22"/>
          <w:lang w:val="en-US"/>
        </w:rPr>
        <w:t>b</w:t>
      </w:r>
      <w:r w:rsidR="00F26865" w:rsidRPr="009214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ut </w:t>
      </w:r>
      <w:r w:rsidR="009214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imagine </w:t>
      </w:r>
      <w:r w:rsidR="00F26865" w:rsidRPr="009214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how easy system specifications </w:t>
      </w:r>
      <w:r w:rsidR="009214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will </w:t>
      </w:r>
      <w:r w:rsidR="00F26865" w:rsidRPr="009214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become once this transition </w:t>
      </w:r>
      <w:r w:rsidR="00AF725E" w:rsidRPr="0092146A">
        <w:rPr>
          <w:rStyle w:val="Kommentarzeichen1"/>
          <w:rFonts w:ascii="Arial" w:hAnsi="Arial" w:cs="Arial"/>
          <w:sz w:val="22"/>
          <w:szCs w:val="22"/>
          <w:lang w:val="en-US"/>
        </w:rPr>
        <w:t>is complete</w:t>
      </w:r>
      <w:r w:rsidR="00F26865" w:rsidRPr="0092146A">
        <w:rPr>
          <w:rStyle w:val="Kommentarzeichen1"/>
          <w:rFonts w:ascii="Arial" w:hAnsi="Arial" w:cs="Arial"/>
          <w:sz w:val="22"/>
          <w:szCs w:val="22"/>
          <w:lang w:val="en-US"/>
        </w:rPr>
        <w:t>?</w:t>
      </w:r>
      <w:r w:rsidRPr="0092146A">
        <w:rPr>
          <w:rStyle w:val="Kommentarzeichen1"/>
          <w:rFonts w:ascii="Arial" w:hAnsi="Arial" w:cs="Arial"/>
          <w:sz w:val="22"/>
          <w:szCs w:val="22"/>
          <w:lang w:val="en-US"/>
        </w:rPr>
        <w:t>”</w:t>
      </w:r>
      <w:r w:rsidR="00F26865" w:rsidRPr="0092146A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2146A">
        <w:rPr>
          <w:rStyle w:val="Kommentarzeichen1"/>
          <w:rFonts w:ascii="Arial" w:hAnsi="Arial" w:cs="Arial"/>
          <w:sz w:val="22"/>
          <w:szCs w:val="22"/>
          <w:lang w:val="en-US"/>
        </w:rPr>
        <w:t>explains</w:t>
      </w:r>
      <w:r w:rsidR="00AF725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Martin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Danzer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>, Di</w:t>
      </w:r>
      <w:r w:rsidRPr="00AF0BCC">
        <w:rPr>
          <w:rStyle w:val="Kommentarzeichen1"/>
          <w:rFonts w:ascii="Arial" w:hAnsi="Arial" w:cs="Arial"/>
          <w:sz w:val="22"/>
          <w:szCs w:val="22"/>
          <w:lang w:val="en-US"/>
        </w:rPr>
        <w:t>rector of Product Management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congatec.</w:t>
      </w:r>
    </w:p>
    <w:p w:rsidR="00DE60FD" w:rsidRDefault="00DE60FD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DE60FD" w:rsidRDefault="00F26865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application ready best practice design-in of recent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535AE7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capabilities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</w:t>
      </w:r>
      <w:r w:rsidR="006C386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shown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on </w:t>
      </w:r>
      <w:r w:rsidR="005F3C4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congatec’s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SMARC 2.0 module</w:t>
      </w:r>
      <w:r w:rsidR="00535AE7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</w:t>
      </w:r>
      <w:r w:rsidR="005F3C4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latest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Intel</w:t>
      </w:r>
      <w:r w:rsidR="00786B23" w:rsidRPr="00786B23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Atom</w:t>
      </w:r>
      <w:r w:rsidR="009E3C4F">
        <w:rPr>
          <w:rStyle w:val="Kommentarzeichen1"/>
          <w:rFonts w:ascii="Arial" w:hAnsi="Arial" w:cs="Arial"/>
          <w:sz w:val="22"/>
          <w:szCs w:val="22"/>
          <w:lang w:val="en-US"/>
        </w:rPr>
        <w:t>™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, Celeron</w:t>
      </w:r>
      <w:r w:rsidR="009E3C4F" w:rsidRPr="00786B23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761A0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Pentium</w:t>
      </w:r>
      <w:r w:rsidR="009E3C4F" w:rsidRPr="00786B23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processors and a suitable carrier board with </w:t>
      </w:r>
      <w:r w:rsidR="00106C7D">
        <w:rPr>
          <w:rStyle w:val="Kommentarzeichen1"/>
          <w:rFonts w:ascii="Arial" w:hAnsi="Arial" w:cs="Arial"/>
          <w:sz w:val="22"/>
          <w:szCs w:val="22"/>
          <w:lang w:val="en-US"/>
        </w:rPr>
        <w:t>one</w:t>
      </w:r>
      <w:r w:rsidR="00F062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D56E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fully </w:t>
      </w:r>
      <w:r w:rsidR="00F062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featured </w:t>
      </w:r>
      <w:r w:rsidR="00535A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onboard </w:t>
      </w:r>
      <w:r w:rsidR="00DE60FD">
        <w:rPr>
          <w:rStyle w:val="Kommentarzeichen1"/>
          <w:rFonts w:ascii="Arial" w:hAnsi="Arial" w:cs="Arial"/>
          <w:sz w:val="22"/>
          <w:szCs w:val="22"/>
          <w:lang w:val="en-US"/>
        </w:rPr>
        <w:t>USB</w:t>
      </w:r>
      <w:r w:rsidR="00535AE7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F13FE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</w:t>
      </w:r>
      <w:r w:rsidR="00F062D2">
        <w:rPr>
          <w:rStyle w:val="Kommentarzeichen1"/>
          <w:rFonts w:ascii="Arial" w:hAnsi="Arial" w:cs="Arial"/>
          <w:sz w:val="22"/>
          <w:szCs w:val="22"/>
          <w:lang w:val="en-US"/>
        </w:rPr>
        <w:t>jack</w:t>
      </w:r>
      <w:r w:rsidR="00AD56E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062D2">
        <w:rPr>
          <w:rStyle w:val="Kommentarzeichen1"/>
          <w:rFonts w:ascii="Arial" w:hAnsi="Arial" w:cs="Arial"/>
          <w:sz w:val="22"/>
          <w:szCs w:val="22"/>
          <w:lang w:val="en-US"/>
        </w:rPr>
        <w:t>for demonstrating the new power supply capabilities as well as the display integration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DE60FD" w:rsidRDefault="00DE60FD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D56E5" w:rsidRPr="00AD56E5" w:rsidRDefault="00E54EDC" w:rsidP="004F40D2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E54EDC">
        <w:rPr>
          <w:rStyle w:val="Kommentarzeichen1"/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4F18AF" w:rsidRDefault="00AD56E5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initially 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implements 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USB-C 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on its new conga-SA5 SMARC 2.0 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>Computer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-on-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Module 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the </w:t>
      </w:r>
      <w:r w:rsidR="00552A0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 </w:t>
      </w:r>
      <w:r w:rsidR="0008239F">
        <w:rPr>
          <w:rStyle w:val="Kommentarzeichen1"/>
          <w:rFonts w:ascii="Arial" w:hAnsi="Arial" w:cs="Arial"/>
          <w:sz w:val="22"/>
          <w:szCs w:val="22"/>
          <w:lang w:val="en-US"/>
        </w:rPr>
        <w:t>evaluation carrier board conga-SEVAL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077B0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>comprehensive USB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>C functionalit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>ies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includ</w:t>
      </w:r>
      <w:r w:rsidR="008E37B0"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USB 2.0, USB 3.1 Gen 1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support 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data rates of 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>up to 5 Gig</w:t>
      </w:r>
      <w:r w:rsidR="00D4177F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>bit/s and the alternate modes for Display Port 1.</w:t>
      </w:r>
      <w:r w:rsidR="00106C7D">
        <w:rPr>
          <w:rStyle w:val="Kommentarzeichen1"/>
          <w:rFonts w:ascii="Arial" w:hAnsi="Arial" w:cs="Arial"/>
          <w:sz w:val="22"/>
          <w:szCs w:val="22"/>
          <w:lang w:val="en-US"/>
        </w:rPr>
        <w:t>2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(DP-Alt) and USB Power Delivery (USB-PD)</w:t>
      </w:r>
      <w:r w:rsidR="0063627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supporting a power envelope of up to 100 W</w:t>
      </w:r>
      <w:r w:rsidR="00912F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63627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All signals are simultaneously 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>present</w:t>
      </w:r>
      <w:r w:rsidR="0063627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the </w:t>
      </w:r>
      <w:r w:rsidR="001B54C7">
        <w:rPr>
          <w:rStyle w:val="Kommentarzeichen1"/>
          <w:rFonts w:ascii="Arial" w:hAnsi="Arial" w:cs="Arial"/>
          <w:sz w:val="22"/>
          <w:szCs w:val="22"/>
          <w:lang w:val="en-US"/>
        </w:rPr>
        <w:t>point</w:t>
      </w:r>
      <w:r w:rsidR="00041309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1B54C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symmetric female </w:t>
      </w:r>
      <w:r w:rsidR="0004130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USB-C </w:t>
      </w:r>
      <w:r w:rsidR="001B54C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connector 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24 signal pins. For the power modes, </w:t>
      </w:r>
      <w:r w:rsidR="007370D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solution supports all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USB-PD 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>modes as specified by the Universal Serial Bus Implementers Forum (USB-IF)</w:t>
      </w:r>
      <w:r w:rsidR="00F52E4E">
        <w:rPr>
          <w:rStyle w:val="Kommentarzeichen1"/>
          <w:rFonts w:ascii="Arial" w:hAnsi="Arial" w:cs="Arial"/>
          <w:sz w:val="22"/>
          <w:szCs w:val="22"/>
          <w:lang w:val="en-US"/>
        </w:rPr>
        <w:t>. B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esides the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USB 3.0 </w:t>
      </w:r>
      <w:r w:rsidR="0021526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compliant mode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>with 5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>V and 1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>5 A</w:t>
      </w:r>
      <w:r w:rsidR="00E65B44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52E4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 can provide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additional voltages of 12 V and 15 V with a maximum current of 3 A and also 20 V with 5 A maximum current. 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Thanks to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>this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USB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becomes also a </w:t>
      </w:r>
      <w:r w:rsidR="00F52E4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unifying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power supply standard for </w:t>
      </w:r>
      <w:r w:rsidR="00F52E4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both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peripheral devices </w:t>
      </w:r>
      <w:r w:rsidR="007F790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 w:rsidR="0071149A">
        <w:rPr>
          <w:rStyle w:val="Kommentarzeichen1"/>
          <w:rFonts w:ascii="Arial" w:hAnsi="Arial" w:cs="Arial"/>
          <w:sz w:val="22"/>
          <w:szCs w:val="22"/>
          <w:lang w:val="en-US"/>
        </w:rPr>
        <w:t>system</w:t>
      </w:r>
      <w:r w:rsidR="007F790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s.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OEMs and developers can use congatec’s </w:t>
      </w:r>
      <w:r w:rsidR="00BC4CD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>SM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RC module and carrier board as an application ready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design-in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solution 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>off-the-shelf evaluation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 this new technology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C52154">
        <w:rPr>
          <w:rStyle w:val="Kommentarzeichen1"/>
          <w:rFonts w:ascii="Arial" w:hAnsi="Arial" w:cs="Arial"/>
          <w:sz w:val="22"/>
          <w:szCs w:val="22"/>
          <w:lang w:val="en-US"/>
        </w:rPr>
        <w:t>To further simplify the development of custom specific USB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C52154">
        <w:rPr>
          <w:rStyle w:val="Kommentarzeichen1"/>
          <w:rFonts w:ascii="Arial" w:hAnsi="Arial" w:cs="Arial"/>
          <w:sz w:val="22"/>
          <w:szCs w:val="22"/>
          <w:lang w:val="en-US"/>
        </w:rPr>
        <w:t>C implementations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C5215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C5215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>deliver</w:t>
      </w:r>
      <w:r w:rsidR="00AE1934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all </w:t>
      </w:r>
      <w:r w:rsidR="00AE193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required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>circuit diagrams</w:t>
      </w:r>
      <w:r w:rsidR="00F2686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upon request and for OEM customers only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167F15">
        <w:rPr>
          <w:rStyle w:val="Kommentarzeichen1"/>
          <w:rFonts w:ascii="Arial" w:hAnsi="Arial" w:cs="Arial"/>
          <w:sz w:val="22"/>
          <w:szCs w:val="22"/>
          <w:lang w:val="en-US"/>
        </w:rPr>
        <w:t>Alternatively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167F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OEMs can leverage congatec’s EDM services to have t</w:t>
      </w:r>
      <w:r w:rsidR="003019C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heir specific solution designed 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them </w:t>
      </w:r>
      <w:r w:rsidR="003019C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to reduce 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in-house </w:t>
      </w:r>
      <w:r w:rsidR="003019C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development </w:t>
      </w:r>
      <w:r w:rsidR="00167F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efforts and time to </w:t>
      </w:r>
      <w:r w:rsidR="003019C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market </w:t>
      </w:r>
      <w:r w:rsidR="00AE0BF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to </w:t>
      </w:r>
      <w:r w:rsidR="00167F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 minimum. 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>Furthermore</w:t>
      </w:r>
      <w:r w:rsidR="00E23196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congatec is working on USB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 implementations on its Qseven and COM Express 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Computer</w:t>
      </w:r>
      <w:r w:rsidR="00962EFB">
        <w:rPr>
          <w:rStyle w:val="Kommentarzeichen1"/>
          <w:rFonts w:ascii="Arial" w:hAnsi="Arial" w:cs="Arial"/>
          <w:sz w:val="22"/>
          <w:szCs w:val="22"/>
          <w:lang w:val="en-US"/>
        </w:rPr>
        <w:t>-on-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Modules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F92590">
        <w:rPr>
          <w:rStyle w:val="Kommentarzeichen1"/>
          <w:rFonts w:ascii="Arial" w:hAnsi="Arial" w:cs="Arial"/>
          <w:sz w:val="22"/>
          <w:szCs w:val="22"/>
          <w:lang w:val="en-US"/>
        </w:rPr>
        <w:t>maximizing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USB connectivity to data rates of up to 40 Gigabit/s via Thunderbolt 3</w:t>
      </w:r>
      <w:r w:rsidR="0078506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</w:t>
      </w:r>
      <w:r w:rsidR="00E2319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powerful </w:t>
      </w:r>
      <w:r w:rsidR="0078506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 Express </w:t>
      </w:r>
      <w:r w:rsidR="00A53D21">
        <w:rPr>
          <w:rStyle w:val="Kommentarzeichen1"/>
          <w:rFonts w:ascii="Arial" w:hAnsi="Arial" w:cs="Arial"/>
          <w:sz w:val="22"/>
          <w:szCs w:val="22"/>
          <w:lang w:val="en-US"/>
        </w:rPr>
        <w:t>T</w:t>
      </w:r>
      <w:r w:rsidR="0078506D">
        <w:rPr>
          <w:rStyle w:val="Kommentarzeichen1"/>
          <w:rFonts w:ascii="Arial" w:hAnsi="Arial" w:cs="Arial"/>
          <w:sz w:val="22"/>
          <w:szCs w:val="22"/>
          <w:lang w:val="en-US"/>
        </w:rPr>
        <w:t>ype 6</w:t>
      </w:r>
      <w:r w:rsidR="00E2319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designs</w:t>
      </w:r>
      <w:r w:rsidR="00B825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</w:p>
    <w:p w:rsidR="00504D0B" w:rsidRPr="00C14DD2" w:rsidRDefault="00504D0B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04D0B" w:rsidRDefault="00504D0B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14DD2">
        <w:rPr>
          <w:rFonts w:ascii="Arial" w:hAnsi="Arial" w:cs="Arial"/>
          <w:sz w:val="22"/>
          <w:szCs w:val="22"/>
          <w:lang w:val="en-GB"/>
        </w:rPr>
        <w:lastRenderedPageBreak/>
        <w:t>The new conga-</w:t>
      </w:r>
      <w:r w:rsidR="0028232F">
        <w:rPr>
          <w:rFonts w:ascii="Arial" w:hAnsi="Arial" w:cs="Arial"/>
          <w:sz w:val="22"/>
          <w:szCs w:val="22"/>
          <w:lang w:val="en-GB"/>
        </w:rPr>
        <w:t>SA5 with USB</w:t>
      </w:r>
      <w:r w:rsidR="00A53D21">
        <w:rPr>
          <w:rFonts w:ascii="Arial" w:hAnsi="Arial" w:cs="Arial"/>
          <w:sz w:val="22"/>
          <w:szCs w:val="22"/>
          <w:lang w:val="en-GB"/>
        </w:rPr>
        <w:t>-</w:t>
      </w:r>
      <w:r w:rsidR="0028232F">
        <w:rPr>
          <w:rFonts w:ascii="Arial" w:hAnsi="Arial" w:cs="Arial"/>
          <w:sz w:val="22"/>
          <w:szCs w:val="22"/>
          <w:lang w:val="en-GB"/>
        </w:rPr>
        <w:t xml:space="preserve">C support 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can be ordered in </w:t>
      </w:r>
      <w:r w:rsidR="00A53D21">
        <w:rPr>
          <w:rFonts w:ascii="Arial" w:hAnsi="Arial" w:cs="Arial"/>
          <w:sz w:val="22"/>
          <w:szCs w:val="22"/>
          <w:lang w:val="en-GB"/>
        </w:rPr>
        <w:t xml:space="preserve">the </w:t>
      </w:r>
      <w:r w:rsidRPr="00C14DD2">
        <w:rPr>
          <w:rFonts w:ascii="Arial" w:hAnsi="Arial" w:cs="Arial"/>
          <w:sz w:val="22"/>
          <w:szCs w:val="22"/>
          <w:lang w:val="en-GB"/>
        </w:rPr>
        <w:t>following standard configurations:</w:t>
      </w:r>
    </w:p>
    <w:p w:rsidR="0095682D" w:rsidRPr="00C14DD2" w:rsidRDefault="0095682D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9038" w:type="dxa"/>
        <w:tblLayout w:type="fixed"/>
        <w:tblLook w:val="04A0"/>
      </w:tblPr>
      <w:tblGrid>
        <w:gridCol w:w="2235"/>
        <w:gridCol w:w="283"/>
        <w:gridCol w:w="851"/>
        <w:gridCol w:w="283"/>
        <w:gridCol w:w="1276"/>
        <w:gridCol w:w="236"/>
        <w:gridCol w:w="1134"/>
        <w:gridCol w:w="236"/>
        <w:gridCol w:w="1134"/>
        <w:gridCol w:w="236"/>
        <w:gridCol w:w="1134"/>
      </w:tblGrid>
      <w:tr w:rsidR="0028232F" w:rsidRPr="0028232F" w:rsidTr="00297F66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28232F" w:rsidRPr="0028232F" w:rsidRDefault="0028232F" w:rsidP="00297F66">
            <w:pP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97F66">
            <w:pP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A1A8E" w:rsidRDefault="0028232F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</w:t>
            </w:r>
          </w:p>
        </w:tc>
        <w:tc>
          <w:tcPr>
            <w:tcW w:w="283" w:type="dxa"/>
            <w:vAlign w:val="center"/>
          </w:tcPr>
          <w:p w:rsidR="003A1A8E" w:rsidRDefault="003A1A8E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3A1A8E" w:rsidRDefault="0028232F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Intel® Smart Cache [MB]</w:t>
            </w:r>
          </w:p>
        </w:tc>
        <w:tc>
          <w:tcPr>
            <w:tcW w:w="236" w:type="dxa"/>
            <w:vAlign w:val="center"/>
          </w:tcPr>
          <w:p w:rsidR="003A1A8E" w:rsidRDefault="003A1A8E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A1A8E" w:rsidRDefault="0028232F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Clock/ Burst</w:t>
            </w:r>
          </w:p>
          <w:p w:rsidR="003A1A8E" w:rsidRDefault="0028232F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3A1A8E" w:rsidRDefault="003A1A8E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A1A8E" w:rsidRDefault="0028232F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36" w:type="dxa"/>
            <w:vAlign w:val="center"/>
          </w:tcPr>
          <w:p w:rsidR="003A1A8E" w:rsidRDefault="003A1A8E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A1A8E" w:rsidRDefault="0028232F" w:rsidP="00297F6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Graphics Execution Units</w:t>
            </w:r>
          </w:p>
        </w:tc>
      </w:tr>
      <w:tr w:rsidR="0028232F" w:rsidRPr="0028232F" w:rsidTr="00297F66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0A3E6F" w:rsidRDefault="0028232F" w:rsidP="00976DF7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117C9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Pentium</w:t>
            </w:r>
            <w:r w:rsidRPr="00ED5C5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N4200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1.1 / 2.5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18</w:t>
            </w:r>
          </w:p>
        </w:tc>
      </w:tr>
      <w:tr w:rsidR="0028232F" w:rsidRPr="0028232F" w:rsidTr="00297F66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0A3E6F" w:rsidRDefault="0028232F" w:rsidP="00976DF7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ED5C5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Celeron</w:t>
            </w:r>
            <w:r w:rsidRPr="00ED5C5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N3350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1.1 / 2.4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12</w:t>
            </w:r>
          </w:p>
        </w:tc>
      </w:tr>
      <w:tr w:rsidR="0028232F" w:rsidRPr="0028232F" w:rsidTr="00297F66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0A3E6F" w:rsidRDefault="0028232F" w:rsidP="00976DF7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ED5C5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Atom™ x7-E3950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1.6 / 2.0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18</w:t>
            </w:r>
          </w:p>
        </w:tc>
      </w:tr>
      <w:tr w:rsidR="0028232F" w:rsidRPr="0028232F" w:rsidTr="00297F66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0A3E6F" w:rsidRDefault="0028232F" w:rsidP="00976DF7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ED5C5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Atom™ x5-E3940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1.6 / 1.8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12</w:t>
            </w:r>
          </w:p>
        </w:tc>
      </w:tr>
      <w:tr w:rsidR="0028232F" w:rsidRPr="0028232F" w:rsidTr="00297F66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0A3E6F" w:rsidRDefault="0028232F" w:rsidP="00976DF7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46026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A3E6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Atom™ x5-E3930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83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1.3 / 1.8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6.5</w:t>
            </w:r>
          </w:p>
        </w:tc>
        <w:tc>
          <w:tcPr>
            <w:tcW w:w="236" w:type="dxa"/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2F" w:rsidRPr="0028232F" w:rsidRDefault="0028232F" w:rsidP="0028232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28232F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12</w:t>
            </w:r>
          </w:p>
        </w:tc>
      </w:tr>
    </w:tbl>
    <w:p w:rsidR="0028232F" w:rsidRPr="00C14DD2" w:rsidRDefault="0028232F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504D0B" w:rsidRPr="00581E95" w:rsidRDefault="00F424EF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r w:rsidRPr="00581E95">
        <w:rPr>
          <w:rFonts w:ascii="Arial" w:hAnsi="Arial" w:cs="Arial"/>
          <w:sz w:val="22"/>
          <w:szCs w:val="22"/>
          <w:lang w:val="en-GB"/>
        </w:rPr>
        <w:t>For more information about the new conga-SA5 computer module visit:</w:t>
      </w:r>
      <w:hyperlink r:id="rId11" w:history="1">
        <w:r w:rsidRPr="00581E95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</w:t>
        </w:r>
        <w:r w:rsidRPr="00581E95">
          <w:rPr>
            <w:rStyle w:val="Hyperlink"/>
            <w:rFonts w:ascii="Arial" w:hAnsi="Arial" w:cs="Arial"/>
            <w:sz w:val="22"/>
            <w:szCs w:val="22"/>
            <w:lang w:val="en-GB"/>
          </w:rPr>
          <w:t>http://www.congatec.com/en/products/smarc/conga-sa5.html</w:t>
        </w:r>
      </w:hyperlink>
      <w:r w:rsidR="00581E95" w:rsidRPr="00581E95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F1EC9" w:rsidRPr="00C14DD2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3910AD" w:rsidRPr="002F0EC8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 xml:space="preserve">Headquartered in Deggendorf, Germany, congatec AG is a leading supplier of industrial computer modules using the standard form factors COM Express, </w:t>
      </w:r>
      <w:r w:rsidR="00C96A0A" w:rsidRPr="00C14DD2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C14DD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 and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the Czech Republic. More information </w:t>
      </w:r>
      <w:r w:rsidRPr="002F0EC8">
        <w:rPr>
          <w:rFonts w:ascii="Arial" w:hAnsi="Arial" w:cs="Arial"/>
          <w:sz w:val="16"/>
          <w:szCs w:val="16"/>
          <w:lang w:val="en-US"/>
        </w:rPr>
        <w:t>is available on our website at</w:t>
      </w:r>
      <w:r w:rsidR="00FD668D" w:rsidRPr="002F0EC8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2" w:history="1">
        <w:r w:rsidR="00FD668D" w:rsidRPr="002F0EC8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="002F0EC8" w:rsidRPr="002F0EC8">
        <w:rPr>
          <w:rFonts w:ascii="Arial" w:hAnsi="Arial" w:cs="Arial"/>
          <w:lang w:val="en-US"/>
        </w:rPr>
        <w:t xml:space="preserve"> </w:t>
      </w:r>
      <w:r w:rsidRPr="002F0EC8">
        <w:rPr>
          <w:rFonts w:ascii="Arial" w:hAnsi="Arial" w:cs="Arial"/>
          <w:sz w:val="16"/>
          <w:szCs w:val="16"/>
          <w:lang w:val="en-US"/>
        </w:rPr>
        <w:t xml:space="preserve">or via </w:t>
      </w:r>
      <w:hyperlink r:id="rId13" w:history="1">
        <w:r w:rsidRPr="002F0EC8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2F0EC8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4" w:history="1">
        <w:r w:rsidRPr="002F0EC8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2F0EC8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5" w:history="1">
        <w:r w:rsidRPr="002F0EC8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2F0EC8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 * *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i/>
          <w:iCs/>
          <w:sz w:val="18"/>
          <w:szCs w:val="18"/>
          <w:lang w:val="en-US"/>
        </w:rPr>
        <w:t>Intel and Intel Atom</w:t>
      </w:r>
      <w:r w:rsidR="00581E95">
        <w:rPr>
          <w:rFonts w:ascii="Arial" w:hAnsi="Arial" w:cs="Arial"/>
          <w:i/>
          <w:iCs/>
          <w:sz w:val="18"/>
          <w:szCs w:val="18"/>
          <w:lang w:val="en-US"/>
        </w:rPr>
        <w:t>, Celeron</w:t>
      </w:r>
      <w:r w:rsidR="00A53D21">
        <w:rPr>
          <w:rFonts w:ascii="Arial" w:hAnsi="Arial" w:cs="Arial"/>
          <w:i/>
          <w:iCs/>
          <w:sz w:val="18"/>
          <w:szCs w:val="18"/>
          <w:lang w:val="en-US"/>
        </w:rPr>
        <w:t xml:space="preserve"> and</w:t>
      </w:r>
      <w:r w:rsidR="00581E95">
        <w:rPr>
          <w:rFonts w:ascii="Arial" w:hAnsi="Arial" w:cs="Arial"/>
          <w:i/>
          <w:iCs/>
          <w:sz w:val="18"/>
          <w:szCs w:val="18"/>
          <w:lang w:val="en-US"/>
        </w:rPr>
        <w:t xml:space="preserve"> Pentium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</w:p>
    <w:p w:rsidR="00D108AC" w:rsidRPr="00C14DD2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C14D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D108AC"/>
    <w:rsid w:val="00007CE8"/>
    <w:rsid w:val="0002480D"/>
    <w:rsid w:val="00031CE7"/>
    <w:rsid w:val="00041309"/>
    <w:rsid w:val="00050371"/>
    <w:rsid w:val="00060118"/>
    <w:rsid w:val="0007622A"/>
    <w:rsid w:val="00077B09"/>
    <w:rsid w:val="0008112C"/>
    <w:rsid w:val="0008239F"/>
    <w:rsid w:val="000869F6"/>
    <w:rsid w:val="00092164"/>
    <w:rsid w:val="000962B0"/>
    <w:rsid w:val="000A3E6F"/>
    <w:rsid w:val="000C0067"/>
    <w:rsid w:val="000D385C"/>
    <w:rsid w:val="000E736A"/>
    <w:rsid w:val="000F3DC3"/>
    <w:rsid w:val="0010462C"/>
    <w:rsid w:val="00106C7D"/>
    <w:rsid w:val="00117C99"/>
    <w:rsid w:val="001221FE"/>
    <w:rsid w:val="00140656"/>
    <w:rsid w:val="001508C4"/>
    <w:rsid w:val="0015353C"/>
    <w:rsid w:val="00157343"/>
    <w:rsid w:val="0016425A"/>
    <w:rsid w:val="00167F15"/>
    <w:rsid w:val="00174D27"/>
    <w:rsid w:val="001862F9"/>
    <w:rsid w:val="001A1C17"/>
    <w:rsid w:val="001A22E9"/>
    <w:rsid w:val="001B54C7"/>
    <w:rsid w:val="001C2A9C"/>
    <w:rsid w:val="001E6288"/>
    <w:rsid w:val="001E7200"/>
    <w:rsid w:val="002018D7"/>
    <w:rsid w:val="002036E7"/>
    <w:rsid w:val="00212286"/>
    <w:rsid w:val="00214B6B"/>
    <w:rsid w:val="00215262"/>
    <w:rsid w:val="002172C9"/>
    <w:rsid w:val="00220331"/>
    <w:rsid w:val="00224905"/>
    <w:rsid w:val="00230F39"/>
    <w:rsid w:val="002312DD"/>
    <w:rsid w:val="00255042"/>
    <w:rsid w:val="0028232F"/>
    <w:rsid w:val="0029273A"/>
    <w:rsid w:val="00292941"/>
    <w:rsid w:val="00297F66"/>
    <w:rsid w:val="002B5598"/>
    <w:rsid w:val="002B7062"/>
    <w:rsid w:val="002C4E3D"/>
    <w:rsid w:val="002D516E"/>
    <w:rsid w:val="002D625D"/>
    <w:rsid w:val="002D7353"/>
    <w:rsid w:val="002E1BDC"/>
    <w:rsid w:val="002F03D5"/>
    <w:rsid w:val="002F0EC8"/>
    <w:rsid w:val="002F1EC9"/>
    <w:rsid w:val="003019C2"/>
    <w:rsid w:val="00315B5B"/>
    <w:rsid w:val="00317F77"/>
    <w:rsid w:val="00320FCE"/>
    <w:rsid w:val="003240DA"/>
    <w:rsid w:val="00341F3D"/>
    <w:rsid w:val="003710B5"/>
    <w:rsid w:val="003836D9"/>
    <w:rsid w:val="003910AD"/>
    <w:rsid w:val="00392D94"/>
    <w:rsid w:val="003950C9"/>
    <w:rsid w:val="003A1A8E"/>
    <w:rsid w:val="003A4642"/>
    <w:rsid w:val="003C3281"/>
    <w:rsid w:val="003C5916"/>
    <w:rsid w:val="003D2914"/>
    <w:rsid w:val="003E662F"/>
    <w:rsid w:val="003E6D9B"/>
    <w:rsid w:val="003F1A25"/>
    <w:rsid w:val="003F33C3"/>
    <w:rsid w:val="003F4852"/>
    <w:rsid w:val="0040079E"/>
    <w:rsid w:val="00404815"/>
    <w:rsid w:val="0043506A"/>
    <w:rsid w:val="00460263"/>
    <w:rsid w:val="004641BF"/>
    <w:rsid w:val="00466830"/>
    <w:rsid w:val="00467347"/>
    <w:rsid w:val="004731D8"/>
    <w:rsid w:val="00480790"/>
    <w:rsid w:val="00483B51"/>
    <w:rsid w:val="0049262D"/>
    <w:rsid w:val="004B1424"/>
    <w:rsid w:val="004B3F3F"/>
    <w:rsid w:val="004D2177"/>
    <w:rsid w:val="004F048E"/>
    <w:rsid w:val="004F06E7"/>
    <w:rsid w:val="004F18AF"/>
    <w:rsid w:val="004F40D2"/>
    <w:rsid w:val="00504D0B"/>
    <w:rsid w:val="005071CF"/>
    <w:rsid w:val="00511619"/>
    <w:rsid w:val="00524C01"/>
    <w:rsid w:val="00535AE7"/>
    <w:rsid w:val="00544A75"/>
    <w:rsid w:val="00552A0F"/>
    <w:rsid w:val="0055759C"/>
    <w:rsid w:val="00564E52"/>
    <w:rsid w:val="005712BF"/>
    <w:rsid w:val="00581E95"/>
    <w:rsid w:val="005824A1"/>
    <w:rsid w:val="005829FC"/>
    <w:rsid w:val="005C4223"/>
    <w:rsid w:val="005C61B0"/>
    <w:rsid w:val="005C6F13"/>
    <w:rsid w:val="005C7F0E"/>
    <w:rsid w:val="005D29AF"/>
    <w:rsid w:val="005E382F"/>
    <w:rsid w:val="005F3C46"/>
    <w:rsid w:val="005F5800"/>
    <w:rsid w:val="00604850"/>
    <w:rsid w:val="00634817"/>
    <w:rsid w:val="00634D6E"/>
    <w:rsid w:val="00636274"/>
    <w:rsid w:val="0065025B"/>
    <w:rsid w:val="0065166D"/>
    <w:rsid w:val="00685009"/>
    <w:rsid w:val="0069359A"/>
    <w:rsid w:val="006A6717"/>
    <w:rsid w:val="006C386C"/>
    <w:rsid w:val="006C744A"/>
    <w:rsid w:val="006E5682"/>
    <w:rsid w:val="006E63DA"/>
    <w:rsid w:val="00700E83"/>
    <w:rsid w:val="0071149A"/>
    <w:rsid w:val="00712C41"/>
    <w:rsid w:val="0073428E"/>
    <w:rsid w:val="00735068"/>
    <w:rsid w:val="007370DA"/>
    <w:rsid w:val="00737760"/>
    <w:rsid w:val="007419BC"/>
    <w:rsid w:val="00747B0D"/>
    <w:rsid w:val="00756733"/>
    <w:rsid w:val="00761A0C"/>
    <w:rsid w:val="0077176E"/>
    <w:rsid w:val="00773C20"/>
    <w:rsid w:val="00781C21"/>
    <w:rsid w:val="0078506D"/>
    <w:rsid w:val="00786B23"/>
    <w:rsid w:val="007A7438"/>
    <w:rsid w:val="007B4ABF"/>
    <w:rsid w:val="007C74CD"/>
    <w:rsid w:val="007D5195"/>
    <w:rsid w:val="007E1E12"/>
    <w:rsid w:val="007F032A"/>
    <w:rsid w:val="007F10E7"/>
    <w:rsid w:val="007F25D0"/>
    <w:rsid w:val="007F4CDC"/>
    <w:rsid w:val="007F7907"/>
    <w:rsid w:val="00807578"/>
    <w:rsid w:val="00827D81"/>
    <w:rsid w:val="00834DCD"/>
    <w:rsid w:val="00842DDA"/>
    <w:rsid w:val="0085088F"/>
    <w:rsid w:val="0087645D"/>
    <w:rsid w:val="00881B43"/>
    <w:rsid w:val="00893BBC"/>
    <w:rsid w:val="008A03D8"/>
    <w:rsid w:val="008A3EE5"/>
    <w:rsid w:val="008C5039"/>
    <w:rsid w:val="008C7242"/>
    <w:rsid w:val="008D011F"/>
    <w:rsid w:val="008E2330"/>
    <w:rsid w:val="008E37B0"/>
    <w:rsid w:val="008E3E73"/>
    <w:rsid w:val="008F0C7F"/>
    <w:rsid w:val="0090739B"/>
    <w:rsid w:val="00912F0E"/>
    <w:rsid w:val="00915B34"/>
    <w:rsid w:val="009163D3"/>
    <w:rsid w:val="0092146A"/>
    <w:rsid w:val="0092236E"/>
    <w:rsid w:val="00925307"/>
    <w:rsid w:val="00937F6D"/>
    <w:rsid w:val="00952A0A"/>
    <w:rsid w:val="00953651"/>
    <w:rsid w:val="009544C6"/>
    <w:rsid w:val="0095682D"/>
    <w:rsid w:val="00962EFB"/>
    <w:rsid w:val="00966EA1"/>
    <w:rsid w:val="00980E71"/>
    <w:rsid w:val="009833C7"/>
    <w:rsid w:val="0098707E"/>
    <w:rsid w:val="00987DEE"/>
    <w:rsid w:val="009977CF"/>
    <w:rsid w:val="009C65B6"/>
    <w:rsid w:val="009C67E6"/>
    <w:rsid w:val="009D71C0"/>
    <w:rsid w:val="009D7F33"/>
    <w:rsid w:val="009E3C4F"/>
    <w:rsid w:val="009F0760"/>
    <w:rsid w:val="00A13C5D"/>
    <w:rsid w:val="00A14ACC"/>
    <w:rsid w:val="00A14B43"/>
    <w:rsid w:val="00A31EE8"/>
    <w:rsid w:val="00A3481C"/>
    <w:rsid w:val="00A44385"/>
    <w:rsid w:val="00A53D21"/>
    <w:rsid w:val="00A53E77"/>
    <w:rsid w:val="00A92F57"/>
    <w:rsid w:val="00A96A35"/>
    <w:rsid w:val="00AA079F"/>
    <w:rsid w:val="00AA5C72"/>
    <w:rsid w:val="00AD4F16"/>
    <w:rsid w:val="00AD56E5"/>
    <w:rsid w:val="00AE0BF5"/>
    <w:rsid w:val="00AE1934"/>
    <w:rsid w:val="00AE4D69"/>
    <w:rsid w:val="00AE61D4"/>
    <w:rsid w:val="00AE6C37"/>
    <w:rsid w:val="00AF0BCC"/>
    <w:rsid w:val="00AF725E"/>
    <w:rsid w:val="00B05B22"/>
    <w:rsid w:val="00B37B7A"/>
    <w:rsid w:val="00B62B2D"/>
    <w:rsid w:val="00B771B7"/>
    <w:rsid w:val="00B8253A"/>
    <w:rsid w:val="00B86632"/>
    <w:rsid w:val="00BA72B6"/>
    <w:rsid w:val="00BB0080"/>
    <w:rsid w:val="00BB4825"/>
    <w:rsid w:val="00BB7CC7"/>
    <w:rsid w:val="00BC4CD6"/>
    <w:rsid w:val="00BD1DEC"/>
    <w:rsid w:val="00BD5B82"/>
    <w:rsid w:val="00C04AF5"/>
    <w:rsid w:val="00C14DD2"/>
    <w:rsid w:val="00C15CAE"/>
    <w:rsid w:val="00C15E41"/>
    <w:rsid w:val="00C2123D"/>
    <w:rsid w:val="00C513BD"/>
    <w:rsid w:val="00C52154"/>
    <w:rsid w:val="00C72C34"/>
    <w:rsid w:val="00C76103"/>
    <w:rsid w:val="00C96A0A"/>
    <w:rsid w:val="00CA519C"/>
    <w:rsid w:val="00CA7731"/>
    <w:rsid w:val="00CB4447"/>
    <w:rsid w:val="00CD1111"/>
    <w:rsid w:val="00CD518B"/>
    <w:rsid w:val="00CF09F9"/>
    <w:rsid w:val="00D0367E"/>
    <w:rsid w:val="00D108AC"/>
    <w:rsid w:val="00D347C7"/>
    <w:rsid w:val="00D35F3A"/>
    <w:rsid w:val="00D4177F"/>
    <w:rsid w:val="00D41992"/>
    <w:rsid w:val="00D46BF1"/>
    <w:rsid w:val="00D81122"/>
    <w:rsid w:val="00D96A20"/>
    <w:rsid w:val="00DB4D61"/>
    <w:rsid w:val="00DD025B"/>
    <w:rsid w:val="00DE60FD"/>
    <w:rsid w:val="00DF0904"/>
    <w:rsid w:val="00DF66AD"/>
    <w:rsid w:val="00E23196"/>
    <w:rsid w:val="00E40B37"/>
    <w:rsid w:val="00E42931"/>
    <w:rsid w:val="00E529F9"/>
    <w:rsid w:val="00E54EDC"/>
    <w:rsid w:val="00E638CB"/>
    <w:rsid w:val="00E65B44"/>
    <w:rsid w:val="00E828B4"/>
    <w:rsid w:val="00E97FC6"/>
    <w:rsid w:val="00EA3656"/>
    <w:rsid w:val="00EC12EC"/>
    <w:rsid w:val="00EC47A8"/>
    <w:rsid w:val="00ED5C59"/>
    <w:rsid w:val="00F062D2"/>
    <w:rsid w:val="00F13FEE"/>
    <w:rsid w:val="00F26865"/>
    <w:rsid w:val="00F27EB6"/>
    <w:rsid w:val="00F36425"/>
    <w:rsid w:val="00F424EF"/>
    <w:rsid w:val="00F444EE"/>
    <w:rsid w:val="00F453DD"/>
    <w:rsid w:val="00F52584"/>
    <w:rsid w:val="00F52E4E"/>
    <w:rsid w:val="00F633BA"/>
    <w:rsid w:val="00F7713D"/>
    <w:rsid w:val="00F92590"/>
    <w:rsid w:val="00FA10E1"/>
    <w:rsid w:val="00FA3174"/>
    <w:rsid w:val="00FB429B"/>
    <w:rsid w:val="00FC7032"/>
    <w:rsid w:val="00FD46AC"/>
    <w:rsid w:val="00FD668D"/>
    <w:rsid w:val="00FD7CA4"/>
    <w:rsid w:val="00FE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character" w:customStyle="1" w:styleId="st">
    <w:name w:val="st"/>
    <w:basedOn w:val="Absatz-Standardschriftart"/>
    <w:rsid w:val="00AF0BCC"/>
  </w:style>
  <w:style w:type="character" w:styleId="BesuchterHyperlink">
    <w:name w:val="FollowedHyperlink"/>
    <w:basedOn w:val="Absatz-Standardschriftart"/>
    <w:uiPriority w:val="99"/>
    <w:semiHidden/>
    <w:unhideWhenUsed/>
    <w:rsid w:val="00A53D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character" w:customStyle="1" w:styleId="st">
    <w:name w:val="st"/>
    <w:basedOn w:val="Absatz-Standardschriftart"/>
    <w:rsid w:val="00AF0BCC"/>
  </w:style>
  <w:style w:type="character" w:styleId="BesuchterHyperlink">
    <w:name w:val="FollowedHyperlink"/>
    <w:basedOn w:val="Absatz-Standardschriftart"/>
    <w:uiPriority w:val="99"/>
    <w:semiHidden/>
    <w:unhideWhenUsed/>
    <w:rsid w:val="00A53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://www.facebook.com/Congatec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congatec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www.congatec.com/" TargetMode="External"/><Relationship Id="rId11" Type="http://schemas.openxmlformats.org/officeDocument/2006/relationships/hyperlink" Target="%20http://www.congatec.com/en/products/smarc/conga-sa5.html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hyperlink" Target="http://www.youtube.com/congatecAE" TargetMode="External"/><Relationship Id="rId10" Type="http://schemas.openxmlformats.org/officeDocument/2006/relationships/hyperlink" Target="http://www.congatec.com/pres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6006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Christof Wilde</cp:lastModifiedBy>
  <cp:revision>4</cp:revision>
  <cp:lastPrinted>2017-03-02T09:14:00Z</cp:lastPrinted>
  <dcterms:created xsi:type="dcterms:W3CDTF">2017-03-09T08:51:00Z</dcterms:created>
  <dcterms:modified xsi:type="dcterms:W3CDTF">2017-03-09T09:00:00Z</dcterms:modified>
</cp:coreProperties>
</file>