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D108AC" w:rsidTr="002D2DD9">
        <w:trPr>
          <w:trHeight w:val="270"/>
        </w:trPr>
        <w:tc>
          <w:tcPr>
            <w:tcW w:w="2552" w:type="dxa"/>
            <w:shd w:val="clear" w:color="auto" w:fill="auto"/>
          </w:tcPr>
          <w:p w:rsidR="00D108AC" w:rsidRPr="00D108AC" w:rsidRDefault="00D108AC" w:rsidP="002D2DD9">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2D2DD9">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2D2DD9">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2D2DD9">
        <w:tblPrEx>
          <w:tblCellMar>
            <w:left w:w="70" w:type="dxa"/>
            <w:right w:w="70" w:type="dxa"/>
          </w:tblCellMar>
        </w:tblPrEx>
        <w:trPr>
          <w:trHeight w:val="101"/>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2D2DD9">
        <w:tblPrEx>
          <w:tblCellMar>
            <w:left w:w="70" w:type="dxa"/>
            <w:right w:w="70" w:type="dxa"/>
          </w:tblCellMar>
        </w:tblPrEx>
        <w:trPr>
          <w:trHeight w:val="273"/>
        </w:trPr>
        <w:tc>
          <w:tcPr>
            <w:tcW w:w="2552" w:type="dxa"/>
            <w:shd w:val="clear" w:color="auto" w:fill="auto"/>
          </w:tcPr>
          <w:p w:rsidR="00D108AC" w:rsidRPr="00D108AC" w:rsidRDefault="00E61EBB" w:rsidP="002D2DD9">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E61EBB" w:rsidP="002D2DD9">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E61EBB" w:rsidP="002D2DD9">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E61EBB" w:rsidP="002D2DD9">
            <w:pPr>
              <w:pStyle w:val="Standard1"/>
              <w:snapToGrid w:val="0"/>
              <w:spacing w:before="20"/>
              <w:rPr>
                <w:rFonts w:ascii="Hind107 Light" w:hAnsi="Hind107 Light" w:cs="Hind107 Light"/>
                <w:sz w:val="18"/>
                <w:szCs w:val="18"/>
              </w:rPr>
            </w:pPr>
            <w:hyperlink r:id="rId9"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Default="00D108AC" w:rsidP="00D108AC">
      <w:pPr>
        <w:rPr>
          <w:rFonts w:ascii="Hind Light" w:hAnsi="Hind Light" w:cs="Hind Light"/>
          <w:i/>
          <w:iCs/>
          <w:color w:val="000000"/>
          <w:sz w:val="16"/>
          <w:szCs w:val="16"/>
        </w:rPr>
      </w:pPr>
    </w:p>
    <w:p w:rsidR="00A869E5" w:rsidRPr="001937B6" w:rsidRDefault="00A869E5" w:rsidP="00D108AC">
      <w:pPr>
        <w:rPr>
          <w:rFonts w:ascii="Hind Light" w:hAnsi="Hind Light" w:cs="Hind Light"/>
          <w:i/>
          <w:iCs/>
          <w:color w:val="000000"/>
          <w:sz w:val="16"/>
          <w:szCs w:val="16"/>
        </w:rPr>
      </w:pPr>
    </w:p>
    <w:p w:rsidR="00D108AC" w:rsidRPr="001937B6" w:rsidRDefault="00A869E5" w:rsidP="00D108AC">
      <w:pPr>
        <w:rPr>
          <w:rFonts w:ascii="Hind Light" w:hAnsi="Hind Light" w:cs="Hind Light"/>
          <w:i/>
          <w:iCs/>
          <w:color w:val="000000"/>
          <w:sz w:val="16"/>
          <w:szCs w:val="16"/>
        </w:rPr>
      </w:pPr>
      <w:r w:rsidRPr="00A869E5">
        <w:rPr>
          <w:rFonts w:ascii="Hind Light" w:hAnsi="Hind Light" w:cs="Hind Light"/>
          <w:i/>
          <w:iCs/>
          <w:noProof/>
          <w:color w:val="000000"/>
          <w:sz w:val="16"/>
          <w:szCs w:val="16"/>
          <w:lang w:eastAsia="de-DE"/>
        </w:rPr>
        <w:drawing>
          <wp:inline distT="0" distB="0" distL="0" distR="0">
            <wp:extent cx="1842448" cy="1185511"/>
            <wp:effectExtent l="19050" t="0" r="5402" b="0"/>
            <wp:docPr id="6" name="Grafik 1" descr="F:\MarCom\Press\PR\2015\PR2001 conga-TR3\conga-TR3_pres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ess\PR\2015\PR2001 conga-TR3\conga-TR3_press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b="-2799"/>
                    <a:stretch>
                      <a:fillRect/>
                    </a:stretch>
                  </pic:blipFill>
                  <pic:spPr bwMode="auto">
                    <a:xfrm>
                      <a:off x="0" y="0"/>
                      <a:ext cx="1842448" cy="1185511"/>
                    </a:xfrm>
                    <a:prstGeom prst="rect">
                      <a:avLst/>
                    </a:prstGeom>
                    <a:noFill/>
                    <a:ln>
                      <a:noFill/>
                    </a:ln>
                  </pic:spPr>
                </pic:pic>
              </a:graphicData>
            </a:graphic>
          </wp:inline>
        </w:drawing>
      </w:r>
    </w:p>
    <w:p w:rsidR="00CC6800" w:rsidRDefault="00CC6800" w:rsidP="00CC6800">
      <w:pPr>
        <w:spacing w:after="120"/>
        <w:rPr>
          <w:rFonts w:ascii="Hind Light" w:hAnsi="Hind Light" w:cs="Hind Light"/>
          <w:i/>
          <w:iCs/>
          <w:color w:val="000000"/>
          <w:sz w:val="16"/>
          <w:szCs w:val="16"/>
        </w:rPr>
      </w:pPr>
      <w:r>
        <w:rPr>
          <w:rFonts w:ascii="Hind Light" w:hAnsi="Hind Light" w:cs="Hind Light"/>
          <w:i/>
          <w:iCs/>
          <w:color w:val="000000"/>
          <w:sz w:val="16"/>
          <w:szCs w:val="16"/>
        </w:rPr>
        <w:t xml:space="preserve">Das </w:t>
      </w:r>
      <w:proofErr w:type="spellStart"/>
      <w:r>
        <w:rPr>
          <w:rFonts w:ascii="Hind Light" w:hAnsi="Hind Light" w:cs="Hind Light"/>
          <w:i/>
          <w:iCs/>
          <w:color w:val="000000"/>
          <w:sz w:val="16"/>
          <w:szCs w:val="16"/>
        </w:rPr>
        <w:t>congatec</w:t>
      </w:r>
      <w:proofErr w:type="spellEnd"/>
      <w:r w:rsidRPr="0055464D">
        <w:rPr>
          <w:rFonts w:ascii="Hind Light" w:hAnsi="Hind Light" w:cs="Hind Light"/>
          <w:i/>
          <w:iCs/>
          <w:color w:val="000000"/>
          <w:sz w:val="16"/>
          <w:szCs w:val="16"/>
        </w:rPr>
        <w:t xml:space="preserve"> Computermodul </w:t>
      </w:r>
      <w:r>
        <w:rPr>
          <w:rFonts w:ascii="Hind Light" w:hAnsi="Hind Light" w:cs="Hind Light"/>
          <w:i/>
          <w:iCs/>
          <w:color w:val="000000"/>
          <w:sz w:val="16"/>
          <w:szCs w:val="16"/>
        </w:rPr>
        <w:t xml:space="preserve">mit 12-35 Watt </w:t>
      </w:r>
      <w:r w:rsidRPr="0055464D">
        <w:rPr>
          <w:rFonts w:ascii="Hind Light" w:hAnsi="Hind Light" w:cs="Hind Light"/>
          <w:i/>
          <w:iCs/>
          <w:color w:val="000000"/>
          <w:sz w:val="16"/>
          <w:szCs w:val="16"/>
        </w:rPr>
        <w:t xml:space="preserve">AMD </w:t>
      </w:r>
      <w:r>
        <w:rPr>
          <w:rFonts w:ascii="Hind Light" w:hAnsi="Hind Light" w:cs="Hind Light"/>
          <w:i/>
          <w:iCs/>
          <w:color w:val="000000"/>
          <w:sz w:val="16"/>
          <w:szCs w:val="16"/>
        </w:rPr>
        <w:t xml:space="preserve">Embedded </w:t>
      </w:r>
      <w:r w:rsidRPr="0055464D">
        <w:rPr>
          <w:rFonts w:ascii="Hind Light" w:hAnsi="Hind Light" w:cs="Hind Light"/>
          <w:i/>
          <w:iCs/>
          <w:color w:val="000000"/>
          <w:sz w:val="16"/>
          <w:szCs w:val="16"/>
        </w:rPr>
        <w:t xml:space="preserve">R-Series </w:t>
      </w:r>
      <w:r>
        <w:rPr>
          <w:rFonts w:ascii="Hind Light" w:hAnsi="Hind Light" w:cs="Hind Light"/>
          <w:i/>
          <w:iCs/>
          <w:color w:val="000000"/>
          <w:sz w:val="16"/>
          <w:szCs w:val="16"/>
        </w:rPr>
        <w:t>Prozessor</w:t>
      </w:r>
      <w:r w:rsidRPr="0055464D">
        <w:rPr>
          <w:rFonts w:ascii="Hind Light" w:hAnsi="Hind Light" w:cs="Hind Light"/>
          <w:i/>
          <w:iCs/>
          <w:color w:val="000000"/>
          <w:sz w:val="16"/>
          <w:szCs w:val="16"/>
        </w:rPr>
        <w:t xml:space="preserve"> </w:t>
      </w:r>
      <w:r>
        <w:rPr>
          <w:rFonts w:ascii="Hind Light" w:hAnsi="Hind Light" w:cs="Hind Light"/>
          <w:i/>
          <w:iCs/>
          <w:color w:val="000000"/>
          <w:sz w:val="16"/>
          <w:szCs w:val="16"/>
        </w:rPr>
        <w:t>bietet höchst leis</w:t>
      </w:r>
      <w:r w:rsidR="00E61EBB">
        <w:rPr>
          <w:rFonts w:ascii="Hind Light" w:hAnsi="Hind Light" w:cs="Hind Light"/>
          <w:i/>
          <w:iCs/>
          <w:color w:val="000000"/>
          <w:sz w:val="16"/>
          <w:szCs w:val="16"/>
        </w:rPr>
        <w:t>tungsfähige SOC-Grafik und HSA 2</w:t>
      </w:r>
      <w:r>
        <w:rPr>
          <w:rFonts w:ascii="Hind Light" w:hAnsi="Hind Light" w:cs="Hind Light"/>
          <w:i/>
          <w:iCs/>
          <w:color w:val="000000"/>
          <w:sz w:val="16"/>
          <w:szCs w:val="16"/>
        </w:rPr>
        <w:t>.0 Support</w:t>
      </w:r>
    </w:p>
    <w:p w:rsidR="00CC6800" w:rsidRPr="001937B6" w:rsidRDefault="00CC6800" w:rsidP="00CC6800">
      <w:pPr>
        <w:jc w:val="right"/>
        <w:rPr>
          <w:rFonts w:ascii="Hind Light" w:hAnsi="Hind Light" w:cs="Hind Light"/>
          <w:kern w:val="2"/>
          <w:sz w:val="22"/>
          <w:szCs w:val="22"/>
        </w:rPr>
      </w:pPr>
    </w:p>
    <w:p w:rsidR="00FE3209" w:rsidRDefault="00CC6800" w:rsidP="00FE3209">
      <w:pPr>
        <w:jc w:val="center"/>
        <w:rPr>
          <w:rFonts w:ascii="Hind107 Bold" w:hAnsi="Hind107 Bold" w:cs="Hind107 Bold"/>
          <w:b/>
          <w:bCs/>
          <w:sz w:val="28"/>
          <w:szCs w:val="28"/>
        </w:rPr>
      </w:pPr>
      <w:proofErr w:type="spellStart"/>
      <w:r w:rsidRPr="008F165B">
        <w:rPr>
          <w:rFonts w:ascii="Hind107 Bold" w:hAnsi="Hind107 Bold" w:cs="Hind107 Bold"/>
          <w:b/>
          <w:bCs/>
          <w:sz w:val="28"/>
          <w:szCs w:val="28"/>
        </w:rPr>
        <w:t>congatec</w:t>
      </w:r>
      <w:proofErr w:type="spellEnd"/>
      <w:r w:rsidRPr="008F165B">
        <w:rPr>
          <w:rFonts w:ascii="Hind107 Bold" w:hAnsi="Hind107 Bold" w:cs="Hind107 Bold"/>
          <w:b/>
          <w:bCs/>
          <w:sz w:val="28"/>
          <w:szCs w:val="28"/>
        </w:rPr>
        <w:t xml:space="preserve"> integriert neue AMD </w:t>
      </w:r>
      <w:r>
        <w:rPr>
          <w:rFonts w:ascii="Hind107 Bold" w:hAnsi="Hind107 Bold" w:cs="Hind107 Bold"/>
          <w:b/>
          <w:bCs/>
          <w:sz w:val="28"/>
          <w:szCs w:val="28"/>
        </w:rPr>
        <w:t xml:space="preserve">Embedded </w:t>
      </w:r>
      <w:r w:rsidRPr="008F165B">
        <w:rPr>
          <w:rFonts w:ascii="Hind107 Bold" w:hAnsi="Hind107 Bold" w:cs="Hind107 Bold"/>
          <w:b/>
          <w:bCs/>
          <w:sz w:val="28"/>
          <w:szCs w:val="28"/>
        </w:rPr>
        <w:t xml:space="preserve">R-Series </w:t>
      </w:r>
      <w:r>
        <w:rPr>
          <w:rFonts w:ascii="Hind107 Bold" w:hAnsi="Hind107 Bold" w:cs="Hind107 Bold"/>
          <w:b/>
          <w:bCs/>
          <w:sz w:val="28"/>
          <w:szCs w:val="28"/>
        </w:rPr>
        <w:t>SOC</w:t>
      </w:r>
    </w:p>
    <w:p w:rsidR="00CC6800" w:rsidRPr="008F165B" w:rsidRDefault="00FE3209" w:rsidP="00CC6800">
      <w:pPr>
        <w:spacing w:after="120"/>
        <w:jc w:val="center"/>
        <w:rPr>
          <w:rFonts w:ascii="Hind107 Bold" w:hAnsi="Hind107 Bold" w:cs="Hind107 Bold"/>
          <w:b/>
          <w:bCs/>
          <w:sz w:val="28"/>
          <w:szCs w:val="28"/>
        </w:rPr>
      </w:pPr>
      <w:r>
        <w:rPr>
          <w:rFonts w:ascii="Hind107 Bold" w:hAnsi="Hind107 Bold" w:cs="Hind107 Bold"/>
          <w:b/>
          <w:bCs/>
          <w:sz w:val="28"/>
          <w:szCs w:val="28"/>
        </w:rPr>
        <w:t xml:space="preserve"> </w:t>
      </w:r>
      <w:r w:rsidR="00CC6800" w:rsidRPr="008F165B">
        <w:rPr>
          <w:rFonts w:ascii="Hind107 Bold" w:hAnsi="Hind107 Bold" w:cs="Hind107 Bold"/>
          <w:b/>
          <w:bCs/>
          <w:sz w:val="28"/>
          <w:szCs w:val="28"/>
        </w:rPr>
        <w:t>auf COM Express</w:t>
      </w:r>
    </w:p>
    <w:p w:rsidR="00CC6800" w:rsidRPr="00E83D7C" w:rsidRDefault="00CC6800" w:rsidP="00CC6800">
      <w:pPr>
        <w:spacing w:line="360" w:lineRule="auto"/>
        <w:jc w:val="center"/>
        <w:rPr>
          <w:rFonts w:ascii="Hind107 Light" w:hAnsi="Hind107 Light" w:cs="Hind107 Light"/>
          <w:sz w:val="22"/>
          <w:szCs w:val="22"/>
        </w:rPr>
      </w:pPr>
    </w:p>
    <w:p w:rsidR="00CC6800" w:rsidRDefault="00E61EBB" w:rsidP="00CC6800">
      <w:pPr>
        <w:pStyle w:val="Standard1"/>
        <w:jc w:val="center"/>
        <w:rPr>
          <w:rFonts w:ascii="Hind107 Light" w:hAnsi="Hind107 Light" w:cs="Hind107 Light"/>
          <w:b/>
          <w:bCs/>
        </w:rPr>
      </w:pPr>
      <w:r>
        <w:rPr>
          <w:rFonts w:ascii="Hind107 Light" w:hAnsi="Hind107 Light" w:cs="Hind107 Light"/>
          <w:b/>
          <w:bCs/>
        </w:rPr>
        <w:t>Satte SOC Grafik, voller HSA 2</w:t>
      </w:r>
      <w:r w:rsidR="00CC6800">
        <w:rPr>
          <w:rFonts w:ascii="Hind107 Light" w:hAnsi="Hind107 Light" w:cs="Hind107 Light"/>
          <w:b/>
          <w:bCs/>
        </w:rPr>
        <w:t xml:space="preserve">.0 Support </w:t>
      </w:r>
    </w:p>
    <w:p w:rsidR="00CC6800" w:rsidRDefault="00CC6800" w:rsidP="00CC6800">
      <w:pPr>
        <w:pStyle w:val="Standard1"/>
        <w:jc w:val="center"/>
        <w:rPr>
          <w:rFonts w:ascii="Hind107 Light" w:hAnsi="Hind107 Light" w:cs="Hind107 Light"/>
          <w:b/>
          <w:bCs/>
        </w:rPr>
      </w:pPr>
      <w:r>
        <w:rPr>
          <w:rFonts w:ascii="Hind107 Light" w:hAnsi="Hind107 Light" w:cs="Hind107 Light"/>
          <w:b/>
          <w:bCs/>
        </w:rPr>
        <w:t xml:space="preserve">und mehr </w:t>
      </w:r>
      <w:r w:rsidRPr="00DB0CE5">
        <w:rPr>
          <w:rFonts w:ascii="Hind107 Light" w:hAnsi="Hind107 Light" w:cs="Hind107 Light"/>
          <w:b/>
          <w:bCs/>
        </w:rPr>
        <w:t>Performance</w:t>
      </w:r>
      <w:r>
        <w:rPr>
          <w:rFonts w:ascii="Hind107 Light" w:hAnsi="Hind107 Light" w:cs="Hind107 Light"/>
          <w:b/>
          <w:bCs/>
        </w:rPr>
        <w:t xml:space="preserve"> schon ab 12 </w:t>
      </w:r>
      <w:r w:rsidRPr="00DB0CE5">
        <w:rPr>
          <w:rFonts w:ascii="Hind107 Light" w:hAnsi="Hind107 Light" w:cs="Hind107 Light"/>
          <w:b/>
          <w:bCs/>
        </w:rPr>
        <w:t>Watt</w:t>
      </w:r>
    </w:p>
    <w:p w:rsidR="00CC6800" w:rsidRPr="00E83D7C" w:rsidRDefault="00CC6800" w:rsidP="00CC6800">
      <w:pPr>
        <w:spacing w:line="360" w:lineRule="auto"/>
        <w:jc w:val="center"/>
        <w:rPr>
          <w:rFonts w:ascii="Hind107 Light" w:hAnsi="Hind107 Light" w:cs="Hind107 Light"/>
          <w:sz w:val="22"/>
          <w:szCs w:val="22"/>
        </w:rPr>
      </w:pPr>
    </w:p>
    <w:p w:rsidR="00CC6800" w:rsidRDefault="00CC6800" w:rsidP="00CC6800">
      <w:pPr>
        <w:spacing w:line="360" w:lineRule="auto"/>
        <w:rPr>
          <w:rFonts w:ascii="Hind107 Light" w:hAnsi="Hind107 Light" w:cs="Hind107 Light"/>
          <w:sz w:val="22"/>
          <w:szCs w:val="22"/>
        </w:rPr>
      </w:pPr>
      <w:r w:rsidRPr="000E7D49">
        <w:rPr>
          <w:rStyle w:val="Kommentarzeichen1"/>
          <w:rFonts w:ascii="Hind107 Light" w:hAnsi="Hind107 Light" w:cs="Hind107 Light"/>
          <w:b/>
          <w:sz w:val="22"/>
          <w:szCs w:val="22"/>
        </w:rPr>
        <w:t>Deggendorf, 2</w:t>
      </w:r>
      <w:r>
        <w:rPr>
          <w:rStyle w:val="Kommentarzeichen1"/>
          <w:rFonts w:ascii="Hind107 Light" w:hAnsi="Hind107 Light" w:cs="Hind107 Light"/>
          <w:b/>
          <w:sz w:val="22"/>
          <w:szCs w:val="22"/>
        </w:rPr>
        <w:t>1</w:t>
      </w:r>
      <w:r w:rsidRPr="000E7D49">
        <w:rPr>
          <w:rStyle w:val="Kommentarzeichen1"/>
          <w:rFonts w:ascii="Hind107 Light" w:hAnsi="Hind107 Light" w:cs="Hind107 Light"/>
          <w:b/>
          <w:sz w:val="22"/>
          <w:szCs w:val="22"/>
        </w:rPr>
        <w:t xml:space="preserve">. </w:t>
      </w:r>
      <w:r>
        <w:rPr>
          <w:rStyle w:val="Kommentarzeichen1"/>
          <w:rFonts w:ascii="Hind107 Light" w:hAnsi="Hind107 Light" w:cs="Hind107 Light"/>
          <w:b/>
          <w:sz w:val="22"/>
          <w:szCs w:val="22"/>
        </w:rPr>
        <w:t>Oktober</w:t>
      </w:r>
      <w:r w:rsidRPr="000E7D49">
        <w:rPr>
          <w:rStyle w:val="Kommentarzeichen1"/>
          <w:rFonts w:ascii="Hind107 Light" w:hAnsi="Hind107 Light" w:cs="Hind107 Light"/>
          <w:b/>
          <w:sz w:val="22"/>
          <w:szCs w:val="22"/>
        </w:rPr>
        <w:t xml:space="preserve"> 2015  </w:t>
      </w:r>
      <w:r>
        <w:rPr>
          <w:rStyle w:val="Kommentarzeichen1"/>
          <w:rFonts w:ascii="Hind107 Light" w:hAnsi="Hind107 Light" w:cs="Hind107 Light"/>
          <w:b/>
          <w:sz w:val="22"/>
          <w:szCs w:val="22"/>
        </w:rPr>
        <w:t xml:space="preserve"> </w:t>
      </w:r>
      <w:r w:rsidRPr="000E7D49">
        <w:rPr>
          <w:rStyle w:val="Kommentarzeichen1"/>
          <w:rFonts w:ascii="Hind107 Light" w:hAnsi="Hind107 Light" w:cs="Hind107 Light"/>
          <w:b/>
          <w:sz w:val="22"/>
          <w:szCs w:val="22"/>
        </w:rPr>
        <w:t>* * *</w:t>
      </w:r>
      <w:r w:rsidRPr="000E7D49">
        <w:rPr>
          <w:rStyle w:val="Kommentarzeichen1"/>
          <w:rFonts w:ascii="Hind107 Light" w:hAnsi="Hind107 Light" w:cs="Hind107 Light"/>
          <w:sz w:val="22"/>
          <w:szCs w:val="22"/>
        </w:rPr>
        <w:t xml:space="preserve">  </w:t>
      </w:r>
      <w:r>
        <w:rPr>
          <w:rStyle w:val="Kommentarzeichen1"/>
          <w:rFonts w:ascii="Hind107 Light" w:hAnsi="Hind107 Light" w:cs="Hind107 Light"/>
          <w:sz w:val="22"/>
          <w:szCs w:val="22"/>
        </w:rPr>
        <w:t xml:space="preserve"> </w:t>
      </w:r>
      <w:r w:rsidRPr="000E7D49">
        <w:rPr>
          <w:rFonts w:ascii="Hind107 Light" w:hAnsi="Hind107 Light" w:cs="Hind107 Light"/>
          <w:sz w:val="22"/>
          <w:szCs w:val="22"/>
        </w:rPr>
        <w:t xml:space="preserve">Die </w:t>
      </w:r>
      <w:proofErr w:type="spellStart"/>
      <w:r w:rsidRPr="000E7D49">
        <w:rPr>
          <w:rFonts w:ascii="Hind107 Light" w:hAnsi="Hind107 Light" w:cs="Hind107 Light"/>
          <w:sz w:val="22"/>
          <w:szCs w:val="22"/>
        </w:rPr>
        <w:t>congatec</w:t>
      </w:r>
      <w:proofErr w:type="spellEnd"/>
      <w:r w:rsidRPr="000E7D49">
        <w:rPr>
          <w:rFonts w:ascii="Hind107 Light" w:hAnsi="Hind107 Light" w:cs="Hind107 Light"/>
          <w:sz w:val="22"/>
          <w:szCs w:val="22"/>
        </w:rPr>
        <w:t xml:space="preserve"> AG, führender Technologie-Anbieter für Embedded Computermodule, Single Board Computer (SBCs) und Embedded Design &amp; Manufacturing (EDM) Services, stellt parallel zum Launch der </w:t>
      </w:r>
      <w:r>
        <w:rPr>
          <w:rFonts w:ascii="Hind107 Light" w:hAnsi="Hind107 Light" w:cs="Hind107 Light"/>
          <w:sz w:val="22"/>
          <w:szCs w:val="22"/>
        </w:rPr>
        <w:t>High-End Embedded Prozessoren</w:t>
      </w:r>
      <w:r w:rsidRPr="000E7D49">
        <w:rPr>
          <w:rFonts w:ascii="Hind107 Light" w:hAnsi="Hind107 Light" w:cs="Hind107 Light"/>
          <w:sz w:val="22"/>
          <w:szCs w:val="22"/>
        </w:rPr>
        <w:t xml:space="preserve"> </w:t>
      </w:r>
      <w:r>
        <w:rPr>
          <w:rFonts w:ascii="Hind107 Light" w:hAnsi="Hind107 Light" w:cs="Hind107 Light"/>
          <w:sz w:val="22"/>
          <w:szCs w:val="22"/>
        </w:rPr>
        <w:t xml:space="preserve">von </w:t>
      </w:r>
      <w:r w:rsidRPr="000E7D49">
        <w:rPr>
          <w:rFonts w:ascii="Hind107 Light" w:hAnsi="Hind107 Light" w:cs="Hind107 Light"/>
          <w:sz w:val="22"/>
          <w:szCs w:val="22"/>
        </w:rPr>
        <w:t xml:space="preserve">AMD </w:t>
      </w:r>
      <w:r>
        <w:rPr>
          <w:rFonts w:ascii="Hind107 Light" w:hAnsi="Hind107 Light" w:cs="Hind107 Light"/>
          <w:sz w:val="22"/>
          <w:szCs w:val="22"/>
        </w:rPr>
        <w:t>neue</w:t>
      </w:r>
      <w:r w:rsidRPr="000E7D49">
        <w:rPr>
          <w:rFonts w:ascii="Hind107 Light" w:hAnsi="Hind107 Light" w:cs="Hind107 Light"/>
          <w:sz w:val="22"/>
          <w:szCs w:val="22"/>
        </w:rPr>
        <w:t xml:space="preserve"> COM Express Basic Module vor. Die neuen conga-TR3 Module </w:t>
      </w:r>
      <w:r>
        <w:rPr>
          <w:rFonts w:ascii="Hind107 Light" w:hAnsi="Hind107 Light" w:cs="Hind107 Light"/>
          <w:sz w:val="22"/>
          <w:szCs w:val="22"/>
        </w:rPr>
        <w:t xml:space="preserve">mit Dual- oder </w:t>
      </w:r>
      <w:proofErr w:type="spellStart"/>
      <w:r>
        <w:rPr>
          <w:rFonts w:ascii="Hind107 Light" w:hAnsi="Hind107 Light" w:cs="Hind107 Light"/>
          <w:sz w:val="22"/>
          <w:szCs w:val="22"/>
        </w:rPr>
        <w:t>Quadcore</w:t>
      </w:r>
      <w:proofErr w:type="spellEnd"/>
      <w:r>
        <w:rPr>
          <w:rFonts w:ascii="Hind107 Light" w:hAnsi="Hind107 Light" w:cs="Hind107 Light"/>
          <w:sz w:val="22"/>
          <w:szCs w:val="22"/>
        </w:rPr>
        <w:t xml:space="preserve"> AMD Embedded R-Series SOCs </w:t>
      </w:r>
      <w:r w:rsidRPr="000E7D49">
        <w:rPr>
          <w:rFonts w:ascii="Hind107 Light" w:hAnsi="Hind107 Light" w:cs="Hind107 Light"/>
          <w:sz w:val="22"/>
          <w:szCs w:val="22"/>
        </w:rPr>
        <w:t xml:space="preserve">bieten </w:t>
      </w:r>
      <w:r>
        <w:rPr>
          <w:rFonts w:ascii="Hind107 Light" w:hAnsi="Hind107 Light" w:cs="Hind107 Light"/>
          <w:sz w:val="22"/>
          <w:szCs w:val="22"/>
        </w:rPr>
        <w:t xml:space="preserve">gegenüber ihren Vorgänger-Modulen nicht nur eine breiter skalierbare TDP von 12 bis 35 Watt sowie eine höhere Performance pro Watt sondern auch zwei weitere markante neue Features: Die hoch-performante AMD Radeon™ HD </w:t>
      </w:r>
      <w:r w:rsidRPr="000E7D49">
        <w:rPr>
          <w:rFonts w:ascii="Hind107 Light" w:hAnsi="Hind107 Light" w:cs="Hind107 Light"/>
          <w:sz w:val="22"/>
          <w:szCs w:val="22"/>
        </w:rPr>
        <w:t xml:space="preserve">Grafik </w:t>
      </w:r>
      <w:r>
        <w:rPr>
          <w:rFonts w:ascii="Hind107 Light" w:hAnsi="Hind107 Light" w:cs="Hind107 Light"/>
          <w:sz w:val="22"/>
          <w:szCs w:val="22"/>
        </w:rPr>
        <w:t xml:space="preserve">sowie vollen Support der </w:t>
      </w:r>
      <w:r w:rsidR="00E61EBB">
        <w:rPr>
          <w:rFonts w:ascii="Hind107 Light" w:hAnsi="Hind107 Light" w:cs="Hind107 Light"/>
          <w:sz w:val="22"/>
          <w:szCs w:val="22"/>
        </w:rPr>
        <w:t>HSA Spezifikation 2</w:t>
      </w:r>
      <w:r w:rsidRPr="000E7D49">
        <w:rPr>
          <w:rFonts w:ascii="Hind107 Light" w:hAnsi="Hind107 Light" w:cs="Hind107 Light"/>
          <w:sz w:val="22"/>
          <w:szCs w:val="22"/>
        </w:rPr>
        <w:t>.0.</w:t>
      </w:r>
    </w:p>
    <w:p w:rsidR="00CC6800" w:rsidRDefault="00CC6800" w:rsidP="00CC6800">
      <w:pPr>
        <w:spacing w:line="360" w:lineRule="auto"/>
        <w:rPr>
          <w:rFonts w:ascii="Hind107 Light" w:hAnsi="Hind107 Light" w:cs="Hind107 Light"/>
          <w:sz w:val="22"/>
          <w:szCs w:val="22"/>
        </w:rPr>
      </w:pPr>
    </w:p>
    <w:p w:rsidR="00CC6800" w:rsidRDefault="00CC6800" w:rsidP="00CC6800">
      <w:pPr>
        <w:spacing w:line="360" w:lineRule="auto"/>
        <w:rPr>
          <w:rFonts w:ascii="Hind107 Light" w:hAnsi="Hind107 Light" w:cs="Hind107 Light"/>
          <w:sz w:val="22"/>
          <w:szCs w:val="22"/>
        </w:rPr>
      </w:pPr>
      <w:r>
        <w:rPr>
          <w:rFonts w:ascii="Hind107 Light" w:hAnsi="Hind107 Light" w:cs="Hind107 Light"/>
          <w:sz w:val="22"/>
          <w:szCs w:val="22"/>
        </w:rPr>
        <w:t xml:space="preserve">„Die neuen besonders grafikstarken AMD Embedded R-Series SOCs sind in einem weiten Bereich bis runter auf 12 Watt skalierbar, sodass sie sogar </w:t>
      </w:r>
      <w:proofErr w:type="spellStart"/>
      <w:r>
        <w:rPr>
          <w:rFonts w:ascii="Hind107 Light" w:hAnsi="Hind107 Light" w:cs="Hind107 Light"/>
          <w:sz w:val="22"/>
          <w:szCs w:val="22"/>
        </w:rPr>
        <w:t>lüfterlose</w:t>
      </w:r>
      <w:proofErr w:type="spellEnd"/>
      <w:r>
        <w:rPr>
          <w:rFonts w:ascii="Hind107 Light" w:hAnsi="Hind107 Light" w:cs="Hind107 Light"/>
          <w:sz w:val="22"/>
          <w:szCs w:val="22"/>
        </w:rPr>
        <w:t xml:space="preserve">, komplett geschlossene und damit besonders robuste Designs bedienen können. Das erweitert das </w:t>
      </w:r>
      <w:r>
        <w:rPr>
          <w:rFonts w:ascii="Hind107 Light" w:hAnsi="Hind107 Light" w:cs="Hind107 Light"/>
          <w:sz w:val="22"/>
          <w:szCs w:val="22"/>
        </w:rPr>
        <w:lastRenderedPageBreak/>
        <w:t xml:space="preserve">Anwendungsspektrum unserer High-End Embedded Module auf Basis dieser </w:t>
      </w:r>
      <w:r w:rsidRPr="000E7D49">
        <w:rPr>
          <w:rFonts w:ascii="Hind107 Light" w:hAnsi="Hind107 Light" w:cs="Hind107 Light"/>
          <w:sz w:val="22"/>
          <w:szCs w:val="22"/>
        </w:rPr>
        <w:t>AMD</w:t>
      </w:r>
      <w:r>
        <w:rPr>
          <w:rFonts w:ascii="Hind107 Light" w:hAnsi="Hind107 Light" w:cs="Hind107 Light"/>
          <w:sz w:val="22"/>
          <w:szCs w:val="22"/>
        </w:rPr>
        <w:t xml:space="preserve"> Plattform erheblich“, </w:t>
      </w:r>
      <w:r w:rsidRPr="000E7D49">
        <w:rPr>
          <w:rFonts w:ascii="Hind107 Light" w:hAnsi="Hind107 Light" w:cs="Hind107 Light"/>
          <w:sz w:val="22"/>
          <w:szCs w:val="22"/>
        </w:rPr>
        <w:t xml:space="preserve">erklärt Gerhard Edi, CTO der </w:t>
      </w:r>
      <w:proofErr w:type="spellStart"/>
      <w:r w:rsidRPr="000E7D49">
        <w:rPr>
          <w:rFonts w:ascii="Hind107 Light" w:hAnsi="Hind107 Light" w:cs="Hind107 Light"/>
          <w:sz w:val="22"/>
          <w:szCs w:val="22"/>
        </w:rPr>
        <w:t>congatec</w:t>
      </w:r>
      <w:proofErr w:type="spellEnd"/>
      <w:r w:rsidRPr="000E7D49">
        <w:rPr>
          <w:rFonts w:ascii="Hind107 Light" w:hAnsi="Hind107 Light" w:cs="Hind107 Light"/>
          <w:sz w:val="22"/>
          <w:szCs w:val="22"/>
        </w:rPr>
        <w:t xml:space="preserve"> AG.</w:t>
      </w:r>
    </w:p>
    <w:p w:rsidR="00CC6800" w:rsidRPr="000E7D49" w:rsidRDefault="00CC6800" w:rsidP="00CC6800">
      <w:pPr>
        <w:spacing w:line="360" w:lineRule="auto"/>
        <w:rPr>
          <w:rFonts w:ascii="Hind107 Light" w:hAnsi="Hind107 Light" w:cs="Hind107 Light"/>
          <w:sz w:val="22"/>
          <w:szCs w:val="22"/>
        </w:rPr>
      </w:pPr>
    </w:p>
    <w:p w:rsidR="00CC6800" w:rsidRDefault="00CC6800" w:rsidP="00CC6800">
      <w:pPr>
        <w:spacing w:line="360" w:lineRule="auto"/>
        <w:rPr>
          <w:rFonts w:ascii="Hind107 Light" w:hAnsi="Hind107 Light" w:cs="Hind107 Light"/>
          <w:sz w:val="22"/>
          <w:szCs w:val="22"/>
        </w:rPr>
      </w:pPr>
      <w:r w:rsidRPr="000E7D49">
        <w:rPr>
          <w:rFonts w:ascii="Hind107 Light" w:hAnsi="Hind107 Light" w:cs="Hind107 Light"/>
          <w:sz w:val="22"/>
          <w:szCs w:val="22"/>
        </w:rPr>
        <w:t>„</w:t>
      </w:r>
      <w:proofErr w:type="spellStart"/>
      <w:r w:rsidRPr="000E7D49">
        <w:rPr>
          <w:rFonts w:ascii="Hind107 Light" w:hAnsi="Hind107 Light" w:cs="Hind107 Light"/>
          <w:sz w:val="22"/>
          <w:szCs w:val="22"/>
        </w:rPr>
        <w:t>congatecs</w:t>
      </w:r>
      <w:proofErr w:type="spellEnd"/>
      <w:r w:rsidRPr="000E7D49">
        <w:rPr>
          <w:rFonts w:ascii="Hind107 Light" w:hAnsi="Hind107 Light" w:cs="Hind107 Light"/>
          <w:sz w:val="22"/>
          <w:szCs w:val="22"/>
        </w:rPr>
        <w:t xml:space="preserve"> neue</w:t>
      </w:r>
      <w:r>
        <w:rPr>
          <w:rFonts w:ascii="Hind107 Light" w:hAnsi="Hind107 Light" w:cs="Hind107 Light"/>
          <w:sz w:val="22"/>
          <w:szCs w:val="22"/>
        </w:rPr>
        <w:t xml:space="preserve"> Computer-on-</w:t>
      </w:r>
      <w:r w:rsidRPr="000E7D49">
        <w:rPr>
          <w:rFonts w:ascii="Hind107 Light" w:hAnsi="Hind107 Light" w:cs="Hind107 Light"/>
          <w:sz w:val="22"/>
          <w:szCs w:val="22"/>
        </w:rPr>
        <w:t xml:space="preserve">Module vereinfachen die Implementierung </w:t>
      </w:r>
      <w:r>
        <w:rPr>
          <w:rFonts w:ascii="Hind107 Light" w:hAnsi="Hind107 Light" w:cs="Hind107 Light"/>
          <w:sz w:val="22"/>
          <w:szCs w:val="22"/>
        </w:rPr>
        <w:t>der DDR4 unterstützenden AMD</w:t>
      </w:r>
      <w:r w:rsidRPr="000E7D49">
        <w:rPr>
          <w:rFonts w:ascii="Hind107 Light" w:hAnsi="Hind107 Light" w:cs="Hind107 Light"/>
          <w:sz w:val="22"/>
          <w:szCs w:val="22"/>
        </w:rPr>
        <w:t xml:space="preserve"> </w:t>
      </w:r>
      <w:r>
        <w:rPr>
          <w:rFonts w:ascii="Hind107 Light" w:hAnsi="Hind107 Light" w:cs="Hind107 Light"/>
          <w:sz w:val="22"/>
          <w:szCs w:val="22"/>
        </w:rPr>
        <w:t xml:space="preserve">Embedded </w:t>
      </w:r>
      <w:r w:rsidRPr="000E7D49">
        <w:rPr>
          <w:rFonts w:ascii="Hind107 Light" w:hAnsi="Hind107 Light" w:cs="Hind107 Light"/>
          <w:sz w:val="22"/>
          <w:szCs w:val="22"/>
        </w:rPr>
        <w:t xml:space="preserve">R-Series </w:t>
      </w:r>
      <w:r>
        <w:rPr>
          <w:rFonts w:ascii="Hind107 Light" w:hAnsi="Hind107 Light" w:cs="Hind107 Light"/>
          <w:sz w:val="22"/>
          <w:szCs w:val="22"/>
        </w:rPr>
        <w:t>SOC</w:t>
      </w:r>
      <w:r w:rsidRPr="000E7D49">
        <w:rPr>
          <w:rFonts w:ascii="Hind107 Light" w:hAnsi="Hind107 Light" w:cs="Hind107 Light"/>
          <w:sz w:val="22"/>
          <w:szCs w:val="22"/>
        </w:rPr>
        <w:t xml:space="preserve"> Prozessoren </w:t>
      </w:r>
      <w:r>
        <w:rPr>
          <w:rFonts w:ascii="Hind107 Light" w:hAnsi="Hind107 Light" w:cs="Hind107 Light"/>
          <w:sz w:val="22"/>
          <w:szCs w:val="22"/>
        </w:rPr>
        <w:t>signifikant. Durch den standardisierten Formfaktor können Entwickler diese Module sofort in bestehende Applikationen integrieren und so unmittelbar von unserer neuen, besonders leistungsfähigen SOC Grafik profitieren. Die skalierbare, besonders geringere TDP ab 12 Watt sowie der umfassende HSA-Support werden uns zudem auch viele neue Anwendungsfelder erschließen</w:t>
      </w:r>
      <w:r w:rsidRPr="000E7D49">
        <w:rPr>
          <w:rFonts w:ascii="Hind107 Light" w:hAnsi="Hind107 Light" w:cs="Hind107 Light"/>
          <w:sz w:val="22"/>
          <w:szCs w:val="22"/>
        </w:rPr>
        <w:t xml:space="preserve">“, ergänzt </w:t>
      </w:r>
      <w:r w:rsidRPr="00CC6800">
        <w:rPr>
          <w:rFonts w:ascii="Hind107 Light" w:hAnsi="Hind107 Light" w:cs="Hind107 Light"/>
          <w:sz w:val="22"/>
          <w:szCs w:val="22"/>
        </w:rPr>
        <w:t xml:space="preserve">Scott </w:t>
      </w:r>
      <w:proofErr w:type="spellStart"/>
      <w:r w:rsidRPr="00CC6800">
        <w:rPr>
          <w:rFonts w:ascii="Hind107 Light" w:hAnsi="Hind107 Light" w:cs="Hind107 Light"/>
          <w:sz w:val="22"/>
          <w:szCs w:val="22"/>
        </w:rPr>
        <w:t>Aylor</w:t>
      </w:r>
      <w:proofErr w:type="spellEnd"/>
      <w:r w:rsidRPr="00CC6800">
        <w:rPr>
          <w:rFonts w:ascii="Hind107 Light" w:hAnsi="Hind107 Light" w:cs="Hind107 Light"/>
          <w:sz w:val="22"/>
          <w:szCs w:val="22"/>
        </w:rPr>
        <w:t xml:space="preserve">, Corporate </w:t>
      </w:r>
      <w:proofErr w:type="spellStart"/>
      <w:r w:rsidRPr="00CC6800">
        <w:rPr>
          <w:rFonts w:ascii="Hind107 Light" w:hAnsi="Hind107 Light" w:cs="Hind107 Light"/>
          <w:sz w:val="22"/>
          <w:szCs w:val="22"/>
        </w:rPr>
        <w:t>Vice</w:t>
      </w:r>
      <w:proofErr w:type="spellEnd"/>
      <w:r w:rsidRPr="00CC6800">
        <w:rPr>
          <w:rFonts w:ascii="Hind107 Light" w:hAnsi="Hind107 Light" w:cs="Hind107 Light"/>
          <w:sz w:val="22"/>
          <w:szCs w:val="22"/>
        </w:rPr>
        <w:t xml:space="preserve"> </w:t>
      </w:r>
      <w:proofErr w:type="spellStart"/>
      <w:r w:rsidRPr="00CC6800">
        <w:rPr>
          <w:rFonts w:ascii="Hind107 Light" w:hAnsi="Hind107 Light" w:cs="Hind107 Light"/>
          <w:sz w:val="22"/>
          <w:szCs w:val="22"/>
        </w:rPr>
        <w:t>President</w:t>
      </w:r>
      <w:proofErr w:type="spellEnd"/>
      <w:r w:rsidRPr="00CC6800">
        <w:rPr>
          <w:rFonts w:ascii="Hind107 Light" w:hAnsi="Hind107 Light" w:cs="Hind107 Light"/>
          <w:sz w:val="22"/>
          <w:szCs w:val="22"/>
        </w:rPr>
        <w:t xml:space="preserve"> und General Manager bei</w:t>
      </w:r>
      <w:r>
        <w:rPr>
          <w:rFonts w:ascii="Hind107 Light" w:hAnsi="Hind107 Light" w:cs="Hind107 Light"/>
          <w:sz w:val="22"/>
          <w:szCs w:val="22"/>
        </w:rPr>
        <w:t xml:space="preserve"> AMD Embedded Solutions.</w:t>
      </w:r>
    </w:p>
    <w:p w:rsidR="00CC6800" w:rsidRPr="000E7D49" w:rsidRDefault="00CC6800" w:rsidP="00CC6800">
      <w:pPr>
        <w:spacing w:line="360" w:lineRule="auto"/>
        <w:rPr>
          <w:rFonts w:ascii="Hind107 Light" w:hAnsi="Hind107 Light" w:cs="Hind107 Light"/>
          <w:sz w:val="22"/>
          <w:szCs w:val="22"/>
        </w:rPr>
      </w:pPr>
    </w:p>
    <w:p w:rsidR="00CC6800" w:rsidRDefault="00CC6800" w:rsidP="00CC6800">
      <w:pPr>
        <w:spacing w:line="360" w:lineRule="auto"/>
        <w:rPr>
          <w:rFonts w:ascii="Hind107 Light" w:hAnsi="Hind107 Light" w:cs="Hind107 Light"/>
          <w:sz w:val="22"/>
          <w:szCs w:val="22"/>
        </w:rPr>
      </w:pPr>
      <w:r>
        <w:rPr>
          <w:rFonts w:ascii="Hind107 Light" w:hAnsi="Hind107 Light" w:cs="Hind107 Light"/>
          <w:sz w:val="22"/>
          <w:szCs w:val="22"/>
        </w:rPr>
        <w:t>Anwendung finden</w:t>
      </w:r>
      <w:r w:rsidRPr="000E7D49">
        <w:rPr>
          <w:rFonts w:ascii="Hind107 Light" w:hAnsi="Hind107 Light" w:cs="Hind107 Light"/>
          <w:sz w:val="22"/>
          <w:szCs w:val="22"/>
        </w:rPr>
        <w:t xml:space="preserve"> </w:t>
      </w:r>
      <w:r>
        <w:rPr>
          <w:rFonts w:ascii="Hind107 Light" w:hAnsi="Hind107 Light" w:cs="Hind107 Light"/>
          <w:sz w:val="22"/>
          <w:szCs w:val="22"/>
        </w:rPr>
        <w:t>die</w:t>
      </w:r>
      <w:r w:rsidRPr="000E7D49">
        <w:rPr>
          <w:rFonts w:ascii="Hind107 Light" w:hAnsi="Hind107 Light" w:cs="Hind107 Light"/>
          <w:sz w:val="22"/>
          <w:szCs w:val="22"/>
        </w:rPr>
        <w:t xml:space="preserve"> neuen</w:t>
      </w:r>
      <w:r>
        <w:rPr>
          <w:rFonts w:ascii="Hind107 Light" w:hAnsi="Hind107 Light" w:cs="Hind107 Light"/>
          <w:sz w:val="22"/>
          <w:szCs w:val="22"/>
        </w:rPr>
        <w:t xml:space="preserve"> COM Express </w:t>
      </w:r>
      <w:r w:rsidRPr="000E7D49">
        <w:rPr>
          <w:rFonts w:ascii="Hind107 Light" w:hAnsi="Hind107 Light" w:cs="Hind107 Light"/>
          <w:sz w:val="22"/>
          <w:szCs w:val="22"/>
        </w:rPr>
        <w:t xml:space="preserve">Module </w:t>
      </w:r>
      <w:r>
        <w:rPr>
          <w:rFonts w:ascii="Hind107 Light" w:hAnsi="Hind107 Light" w:cs="Hind107 Light"/>
          <w:sz w:val="22"/>
          <w:szCs w:val="22"/>
        </w:rPr>
        <w:t xml:space="preserve">von </w:t>
      </w:r>
      <w:proofErr w:type="spellStart"/>
      <w:r>
        <w:rPr>
          <w:rFonts w:ascii="Hind107 Light" w:hAnsi="Hind107 Light" w:cs="Hind107 Light"/>
          <w:sz w:val="22"/>
          <w:szCs w:val="22"/>
        </w:rPr>
        <w:t>congatec</w:t>
      </w:r>
      <w:proofErr w:type="spellEnd"/>
      <w:r>
        <w:rPr>
          <w:rFonts w:ascii="Hind107 Light" w:hAnsi="Hind107 Light" w:cs="Hind107 Light"/>
          <w:sz w:val="22"/>
          <w:szCs w:val="22"/>
        </w:rPr>
        <w:t xml:space="preserve"> in</w:t>
      </w:r>
      <w:r w:rsidRPr="000E7D49">
        <w:rPr>
          <w:rFonts w:ascii="Hind107 Light" w:hAnsi="Hind107 Light" w:cs="Hind107 Light"/>
          <w:sz w:val="22"/>
          <w:szCs w:val="22"/>
        </w:rPr>
        <w:t xml:space="preserve"> </w:t>
      </w:r>
      <w:r>
        <w:rPr>
          <w:rFonts w:ascii="Hind107 Light" w:hAnsi="Hind107 Light" w:cs="Hind107 Light"/>
          <w:sz w:val="22"/>
          <w:szCs w:val="22"/>
        </w:rPr>
        <w:t>Applikationen</w:t>
      </w:r>
      <w:r w:rsidRPr="000E7D49">
        <w:rPr>
          <w:rFonts w:ascii="Hind107 Light" w:hAnsi="Hind107 Light" w:cs="Hind107 Light"/>
          <w:sz w:val="22"/>
          <w:szCs w:val="22"/>
        </w:rPr>
        <w:t xml:space="preserve">, die eine </w:t>
      </w:r>
      <w:r>
        <w:rPr>
          <w:rFonts w:ascii="Hind107 Light" w:hAnsi="Hind107 Light" w:cs="Hind107 Light"/>
          <w:sz w:val="22"/>
          <w:szCs w:val="22"/>
        </w:rPr>
        <w:t>besonders</w:t>
      </w:r>
      <w:r w:rsidRPr="000E7D49">
        <w:rPr>
          <w:rFonts w:ascii="Hind107 Light" w:hAnsi="Hind107 Light" w:cs="Hind107 Light"/>
          <w:sz w:val="22"/>
          <w:szCs w:val="22"/>
        </w:rPr>
        <w:t xml:space="preserve"> </w:t>
      </w:r>
      <w:r>
        <w:rPr>
          <w:rFonts w:ascii="Hind107 Light" w:hAnsi="Hind107 Light" w:cs="Hind107 Light"/>
          <w:sz w:val="22"/>
          <w:szCs w:val="22"/>
        </w:rPr>
        <w:t xml:space="preserve">leistungsfähige, hoch integrierte </w:t>
      </w:r>
      <w:r w:rsidRPr="000E7D49">
        <w:rPr>
          <w:rFonts w:ascii="Hind107 Light" w:hAnsi="Hind107 Light" w:cs="Hind107 Light"/>
          <w:sz w:val="22"/>
          <w:szCs w:val="22"/>
        </w:rPr>
        <w:t>Grafik und/oder parallele Rechenleistung</w:t>
      </w:r>
      <w:r>
        <w:rPr>
          <w:rFonts w:ascii="Hind107 Light" w:hAnsi="Hind107 Light" w:cs="Hind107 Light"/>
          <w:sz w:val="22"/>
          <w:szCs w:val="22"/>
        </w:rPr>
        <w:t xml:space="preserve"> erfordern</w:t>
      </w:r>
      <w:r w:rsidRPr="000E7D49">
        <w:rPr>
          <w:rFonts w:ascii="Hind107 Light" w:hAnsi="Hind107 Light" w:cs="Hind107 Light"/>
          <w:sz w:val="22"/>
          <w:szCs w:val="22"/>
        </w:rPr>
        <w:t>. Dies</w:t>
      </w:r>
      <w:r>
        <w:rPr>
          <w:rFonts w:ascii="Hind107 Light" w:hAnsi="Hind107 Light" w:cs="Hind107 Light"/>
          <w:sz w:val="22"/>
          <w:szCs w:val="22"/>
        </w:rPr>
        <w:t>e</w:t>
      </w:r>
      <w:r w:rsidRPr="000E7D49">
        <w:rPr>
          <w:rFonts w:ascii="Hind107 Light" w:hAnsi="Hind107 Light" w:cs="Hind107 Light"/>
          <w:sz w:val="22"/>
          <w:szCs w:val="22"/>
        </w:rPr>
        <w:t xml:space="preserve"> </w:t>
      </w:r>
      <w:r>
        <w:rPr>
          <w:rFonts w:ascii="Hind107 Light" w:hAnsi="Hind107 Light" w:cs="Hind107 Light"/>
          <w:sz w:val="22"/>
          <w:szCs w:val="22"/>
        </w:rPr>
        <w:t xml:space="preserve">finden sich </w:t>
      </w:r>
      <w:r w:rsidRPr="000E7D49">
        <w:rPr>
          <w:rFonts w:ascii="Hind107 Light" w:hAnsi="Hind107 Light" w:cs="Hind107 Light"/>
          <w:sz w:val="22"/>
          <w:szCs w:val="22"/>
        </w:rPr>
        <w:t xml:space="preserve">unter anderem </w:t>
      </w:r>
      <w:r>
        <w:rPr>
          <w:rFonts w:ascii="Hind107 Light" w:hAnsi="Hind107 Light" w:cs="Hind107 Light"/>
          <w:sz w:val="22"/>
          <w:szCs w:val="22"/>
        </w:rPr>
        <w:t xml:space="preserve">im </w:t>
      </w:r>
      <w:r w:rsidRPr="000E7D49">
        <w:rPr>
          <w:rFonts w:ascii="Hind107 Light" w:hAnsi="Hind107 Light" w:cs="Hind107 Light"/>
          <w:sz w:val="22"/>
          <w:szCs w:val="22"/>
        </w:rPr>
        <w:t>High-End Gaming wie digitale Flipper</w:t>
      </w:r>
      <w:r>
        <w:rPr>
          <w:rFonts w:ascii="Hind107 Light" w:hAnsi="Hind107 Light" w:cs="Hind107 Light"/>
          <w:sz w:val="22"/>
          <w:szCs w:val="22"/>
        </w:rPr>
        <w:t>-</w:t>
      </w:r>
      <w:r w:rsidRPr="000E7D49">
        <w:rPr>
          <w:rFonts w:ascii="Hind107 Light" w:hAnsi="Hind107 Light" w:cs="Hind107 Light"/>
          <w:sz w:val="22"/>
          <w:szCs w:val="22"/>
        </w:rPr>
        <w:t xml:space="preserve"> und </w:t>
      </w:r>
      <w:proofErr w:type="spellStart"/>
      <w:r w:rsidRPr="000E7D49">
        <w:rPr>
          <w:rFonts w:ascii="Hind107 Light" w:hAnsi="Hind107 Light" w:cs="Hind107 Light"/>
          <w:sz w:val="22"/>
          <w:szCs w:val="22"/>
        </w:rPr>
        <w:t>Arcade</w:t>
      </w:r>
      <w:proofErr w:type="spellEnd"/>
      <w:r w:rsidRPr="000E7D49">
        <w:rPr>
          <w:rFonts w:ascii="Hind107 Light" w:hAnsi="Hind107 Light" w:cs="Hind107 Light"/>
          <w:sz w:val="22"/>
          <w:szCs w:val="22"/>
        </w:rPr>
        <w:t xml:space="preserve">-Automaten, </w:t>
      </w:r>
      <w:r>
        <w:rPr>
          <w:rFonts w:ascii="Hind107 Light" w:hAnsi="Hind107 Light" w:cs="Hind107 Light"/>
          <w:sz w:val="22"/>
          <w:szCs w:val="22"/>
        </w:rPr>
        <w:t xml:space="preserve">in </w:t>
      </w:r>
      <w:r w:rsidRPr="000E7D49">
        <w:rPr>
          <w:rFonts w:ascii="Hind107 Light" w:hAnsi="Hind107 Light" w:cs="Hind107 Light"/>
          <w:sz w:val="22"/>
          <w:szCs w:val="22"/>
        </w:rPr>
        <w:t>anspruchsvolle</w:t>
      </w:r>
      <w:r>
        <w:rPr>
          <w:rFonts w:ascii="Hind107 Light" w:hAnsi="Hind107 Light" w:cs="Hind107 Light"/>
          <w:sz w:val="22"/>
          <w:szCs w:val="22"/>
        </w:rPr>
        <w:t>n</w:t>
      </w:r>
      <w:r w:rsidRPr="000E7D49">
        <w:rPr>
          <w:rFonts w:ascii="Hind107 Light" w:hAnsi="Hind107 Light" w:cs="Hind107 Light"/>
          <w:sz w:val="22"/>
          <w:szCs w:val="22"/>
        </w:rPr>
        <w:t xml:space="preserve"> Digital </w:t>
      </w:r>
      <w:proofErr w:type="spellStart"/>
      <w:r w:rsidRPr="000E7D49">
        <w:rPr>
          <w:rFonts w:ascii="Hind107 Light" w:hAnsi="Hind107 Light" w:cs="Hind107 Light"/>
          <w:sz w:val="22"/>
          <w:szCs w:val="22"/>
        </w:rPr>
        <w:t>Signage</w:t>
      </w:r>
      <w:proofErr w:type="spellEnd"/>
      <w:r w:rsidRPr="000E7D49">
        <w:rPr>
          <w:rFonts w:ascii="Hind107 Light" w:hAnsi="Hind107 Light" w:cs="Hind107 Light"/>
          <w:sz w:val="22"/>
          <w:szCs w:val="22"/>
        </w:rPr>
        <w:t xml:space="preserve"> Installationen mit großformatigen 4k-Panels </w:t>
      </w:r>
      <w:r>
        <w:rPr>
          <w:rFonts w:ascii="Hind107 Light" w:hAnsi="Hind107 Light" w:cs="Hind107 Light"/>
          <w:sz w:val="22"/>
          <w:szCs w:val="22"/>
        </w:rPr>
        <w:t>sowie</w:t>
      </w:r>
      <w:r w:rsidRPr="000E7D49">
        <w:rPr>
          <w:rFonts w:ascii="Hind107 Light" w:hAnsi="Hind107 Light" w:cs="Hind107 Light"/>
          <w:sz w:val="22"/>
          <w:szCs w:val="22"/>
        </w:rPr>
        <w:t xml:space="preserve"> </w:t>
      </w:r>
      <w:r>
        <w:rPr>
          <w:rFonts w:ascii="Hind107 Light" w:hAnsi="Hind107 Light" w:cs="Hind107 Light"/>
          <w:sz w:val="22"/>
          <w:szCs w:val="22"/>
        </w:rPr>
        <w:t>der Bild- und Videoanalytik</w:t>
      </w:r>
      <w:r w:rsidRPr="000E7D49">
        <w:rPr>
          <w:rFonts w:ascii="Hind107 Light" w:hAnsi="Hind107 Light" w:cs="Hind107 Light"/>
          <w:sz w:val="22"/>
          <w:szCs w:val="22"/>
        </w:rPr>
        <w:t xml:space="preserve"> </w:t>
      </w:r>
      <w:r>
        <w:rPr>
          <w:rFonts w:ascii="Hind107 Light" w:hAnsi="Hind107 Light" w:cs="Hind107 Light"/>
          <w:sz w:val="22"/>
          <w:szCs w:val="22"/>
        </w:rPr>
        <w:t xml:space="preserve">in </w:t>
      </w:r>
      <w:r w:rsidRPr="000E7D49">
        <w:rPr>
          <w:rFonts w:ascii="Hind107 Light" w:hAnsi="Hind107 Light" w:cs="Hind107 Light"/>
          <w:sz w:val="22"/>
          <w:szCs w:val="22"/>
        </w:rPr>
        <w:t>industrielle</w:t>
      </w:r>
      <w:r>
        <w:rPr>
          <w:rFonts w:ascii="Hind107 Light" w:hAnsi="Hind107 Light" w:cs="Hind107 Light"/>
          <w:sz w:val="22"/>
          <w:szCs w:val="22"/>
        </w:rPr>
        <w:t>n</w:t>
      </w:r>
      <w:r w:rsidRPr="000E7D49">
        <w:rPr>
          <w:rFonts w:ascii="Hind107 Light" w:hAnsi="Hind107 Light" w:cs="Hind107 Light"/>
          <w:sz w:val="22"/>
          <w:szCs w:val="22"/>
        </w:rPr>
        <w:t xml:space="preserve"> </w:t>
      </w:r>
      <w:r>
        <w:rPr>
          <w:rFonts w:ascii="Hind107 Light" w:hAnsi="Hind107 Light" w:cs="Hind107 Light"/>
          <w:sz w:val="22"/>
          <w:szCs w:val="22"/>
        </w:rPr>
        <w:t>Vision-Systemen sowie</w:t>
      </w:r>
      <w:r w:rsidRPr="000E7D49">
        <w:rPr>
          <w:rFonts w:ascii="Hind107 Light" w:hAnsi="Hind107 Light" w:cs="Hind107 Light"/>
          <w:sz w:val="22"/>
          <w:szCs w:val="22"/>
        </w:rPr>
        <w:t xml:space="preserve"> </w:t>
      </w:r>
      <w:r>
        <w:rPr>
          <w:rFonts w:ascii="Hind107 Light" w:hAnsi="Hind107 Light" w:cs="Hind107 Light"/>
          <w:sz w:val="22"/>
          <w:szCs w:val="22"/>
        </w:rPr>
        <w:t>bildgebenden Verfahren der Medizintechnik</w:t>
      </w:r>
      <w:r w:rsidRPr="000E7D49">
        <w:rPr>
          <w:rFonts w:ascii="Hind107 Light" w:hAnsi="Hind107 Light" w:cs="Hind107 Light"/>
          <w:sz w:val="22"/>
          <w:szCs w:val="22"/>
        </w:rPr>
        <w:t xml:space="preserve">. Auch Sicherheitsapplikationen wie </w:t>
      </w:r>
      <w:r>
        <w:rPr>
          <w:rFonts w:ascii="Hind107 Light" w:hAnsi="Hind107 Light" w:cs="Hind107 Light"/>
          <w:sz w:val="22"/>
          <w:szCs w:val="22"/>
        </w:rPr>
        <w:t xml:space="preserve">die </w:t>
      </w:r>
      <w:r w:rsidRPr="000E7D49">
        <w:rPr>
          <w:rFonts w:ascii="Hind107 Light" w:hAnsi="Hind107 Light" w:cs="Hind107 Light"/>
          <w:sz w:val="22"/>
          <w:szCs w:val="22"/>
        </w:rPr>
        <w:t>Videoüberwachung mit G</w:t>
      </w:r>
      <w:r>
        <w:rPr>
          <w:rFonts w:ascii="Hind107 Light" w:hAnsi="Hind107 Light" w:cs="Hind107 Light"/>
          <w:sz w:val="22"/>
          <w:szCs w:val="22"/>
        </w:rPr>
        <w:t>esichtserkennung oder Netzwerk-</w:t>
      </w:r>
      <w:r w:rsidRPr="000E7D49">
        <w:rPr>
          <w:rFonts w:ascii="Hind107 Light" w:hAnsi="Hind107 Light" w:cs="Hind107 Light"/>
          <w:sz w:val="22"/>
          <w:szCs w:val="22"/>
        </w:rPr>
        <w:t xml:space="preserve">Firewalls mit </w:t>
      </w:r>
      <w:proofErr w:type="spellStart"/>
      <w:r w:rsidRPr="000E7D49">
        <w:rPr>
          <w:rFonts w:ascii="Hind107 Light" w:hAnsi="Hind107 Light" w:cs="Hind107 Light"/>
          <w:sz w:val="22"/>
          <w:szCs w:val="22"/>
        </w:rPr>
        <w:t>Deep</w:t>
      </w:r>
      <w:proofErr w:type="spellEnd"/>
      <w:r w:rsidRPr="000E7D49">
        <w:rPr>
          <w:rFonts w:ascii="Hind107 Light" w:hAnsi="Hind107 Light" w:cs="Hind107 Light"/>
          <w:sz w:val="22"/>
          <w:szCs w:val="22"/>
        </w:rPr>
        <w:t>-Packet-</w:t>
      </w:r>
      <w:proofErr w:type="spellStart"/>
      <w:r w:rsidRPr="000E7D49">
        <w:rPr>
          <w:rFonts w:ascii="Hind107 Light" w:hAnsi="Hind107 Light" w:cs="Hind107 Light"/>
          <w:sz w:val="22"/>
          <w:szCs w:val="22"/>
        </w:rPr>
        <w:t>Inspection</w:t>
      </w:r>
      <w:proofErr w:type="spellEnd"/>
      <w:r w:rsidRPr="000E7D49">
        <w:rPr>
          <w:rFonts w:ascii="Hind107 Light" w:hAnsi="Hind107 Light" w:cs="Hind107 Light"/>
          <w:sz w:val="22"/>
          <w:szCs w:val="22"/>
        </w:rPr>
        <w:t xml:space="preserve"> </w:t>
      </w:r>
      <w:r>
        <w:rPr>
          <w:rFonts w:ascii="Hind107 Light" w:hAnsi="Hind107 Light" w:cs="Hind107 Light"/>
          <w:sz w:val="22"/>
          <w:szCs w:val="22"/>
        </w:rPr>
        <w:t xml:space="preserve">sowie </w:t>
      </w:r>
      <w:proofErr w:type="spellStart"/>
      <w:r w:rsidRPr="000E7D49">
        <w:rPr>
          <w:rFonts w:ascii="Hind107 Light" w:hAnsi="Hind107 Light" w:cs="Hind107 Light"/>
          <w:sz w:val="22"/>
          <w:szCs w:val="22"/>
        </w:rPr>
        <w:t>IoT</w:t>
      </w:r>
      <w:proofErr w:type="spellEnd"/>
      <w:r w:rsidRPr="000E7D49">
        <w:rPr>
          <w:rFonts w:ascii="Hind107 Light" w:hAnsi="Hind107 Light" w:cs="Hind107 Light"/>
          <w:sz w:val="22"/>
          <w:szCs w:val="22"/>
        </w:rPr>
        <w:t xml:space="preserve">-Systeme mit </w:t>
      </w:r>
      <w:r>
        <w:rPr>
          <w:rFonts w:ascii="Hind107 Light" w:hAnsi="Hind107 Light" w:cs="Hind107 Light"/>
          <w:sz w:val="22"/>
          <w:szCs w:val="22"/>
        </w:rPr>
        <w:t xml:space="preserve">integrierter </w:t>
      </w:r>
      <w:r w:rsidRPr="000E7D49">
        <w:rPr>
          <w:rFonts w:ascii="Hind107 Light" w:hAnsi="Hind107 Light" w:cs="Hind107 Light"/>
          <w:sz w:val="22"/>
          <w:szCs w:val="22"/>
        </w:rPr>
        <w:t>Big</w:t>
      </w:r>
      <w:r>
        <w:rPr>
          <w:rFonts w:ascii="Hind107 Light" w:hAnsi="Hind107 Light" w:cs="Hind107 Light"/>
          <w:sz w:val="22"/>
          <w:szCs w:val="22"/>
        </w:rPr>
        <w:t xml:space="preserve"> </w:t>
      </w:r>
      <w:r w:rsidRPr="000E7D49">
        <w:rPr>
          <w:rFonts w:ascii="Hind107 Light" w:hAnsi="Hind107 Light" w:cs="Hind107 Light"/>
          <w:sz w:val="22"/>
          <w:szCs w:val="22"/>
        </w:rPr>
        <w:t xml:space="preserve">Data Analytik profitieren von </w:t>
      </w:r>
      <w:r>
        <w:rPr>
          <w:rFonts w:ascii="Hind107 Light" w:hAnsi="Hind107 Light" w:cs="Hind107 Light"/>
          <w:sz w:val="22"/>
          <w:szCs w:val="22"/>
        </w:rPr>
        <w:t>der</w:t>
      </w:r>
      <w:r w:rsidRPr="000E7D49">
        <w:rPr>
          <w:rFonts w:ascii="Hind107 Light" w:hAnsi="Hind107 Light" w:cs="Hind107 Light"/>
          <w:sz w:val="22"/>
          <w:szCs w:val="22"/>
        </w:rPr>
        <w:t xml:space="preserve"> hohen GPGPU-Performance</w:t>
      </w:r>
      <w:r>
        <w:rPr>
          <w:rFonts w:ascii="Hind107 Light" w:hAnsi="Hind107 Light" w:cs="Hind107 Light"/>
          <w:sz w:val="22"/>
          <w:szCs w:val="22"/>
        </w:rPr>
        <w:t xml:space="preserve"> (</w:t>
      </w:r>
      <w:r w:rsidRPr="00A8267A">
        <w:rPr>
          <w:rFonts w:ascii="Hind107 Light" w:hAnsi="Hind107 Light" w:cs="Hind107 Light"/>
          <w:sz w:val="22"/>
          <w:szCs w:val="22"/>
        </w:rPr>
        <w:t xml:space="preserve">General </w:t>
      </w:r>
      <w:proofErr w:type="spellStart"/>
      <w:r w:rsidRPr="00A8267A">
        <w:rPr>
          <w:rFonts w:ascii="Hind107 Light" w:hAnsi="Hind107 Light" w:cs="Hind107 Light"/>
          <w:sz w:val="22"/>
          <w:szCs w:val="22"/>
        </w:rPr>
        <w:t>Purpose</w:t>
      </w:r>
      <w:proofErr w:type="spellEnd"/>
      <w:r w:rsidRPr="00A8267A">
        <w:rPr>
          <w:rFonts w:ascii="Hind107 Light" w:hAnsi="Hind107 Light" w:cs="Hind107 Light"/>
          <w:sz w:val="22"/>
          <w:szCs w:val="22"/>
        </w:rPr>
        <w:t xml:space="preserve"> </w:t>
      </w:r>
      <w:proofErr w:type="spellStart"/>
      <w:r>
        <w:rPr>
          <w:rFonts w:ascii="Hind107 Light" w:hAnsi="Hind107 Light" w:cs="Hind107 Light"/>
          <w:sz w:val="22"/>
          <w:szCs w:val="22"/>
        </w:rPr>
        <w:t>computing</w:t>
      </w:r>
      <w:proofErr w:type="spellEnd"/>
      <w:r w:rsidRPr="00A8267A">
        <w:rPr>
          <w:rFonts w:ascii="Hind107 Light" w:hAnsi="Hind107 Light" w:cs="Hind107 Light"/>
          <w:sz w:val="22"/>
          <w:szCs w:val="22"/>
        </w:rPr>
        <w:t xml:space="preserve"> on Graphics Processing Unit</w:t>
      </w:r>
      <w:r>
        <w:rPr>
          <w:rFonts w:ascii="Hind107 Light" w:hAnsi="Hind107 Light" w:cs="Hind107 Light"/>
          <w:sz w:val="22"/>
          <w:szCs w:val="22"/>
        </w:rPr>
        <w:t>)</w:t>
      </w:r>
      <w:r w:rsidRPr="00A8267A">
        <w:rPr>
          <w:rFonts w:ascii="Hind107 Light" w:hAnsi="Hind107 Light" w:cs="Hind107 Light"/>
          <w:sz w:val="22"/>
          <w:szCs w:val="22"/>
        </w:rPr>
        <w:t xml:space="preserve"> </w:t>
      </w:r>
      <w:r>
        <w:rPr>
          <w:rFonts w:ascii="Hind107 Light" w:hAnsi="Hind107 Light" w:cs="Hind107 Light"/>
          <w:sz w:val="22"/>
          <w:szCs w:val="22"/>
        </w:rPr>
        <w:t xml:space="preserve">der neuen </w:t>
      </w:r>
      <w:proofErr w:type="spellStart"/>
      <w:r>
        <w:rPr>
          <w:rFonts w:ascii="Hind107 Light" w:hAnsi="Hind107 Light" w:cs="Hind107 Light"/>
          <w:sz w:val="22"/>
          <w:szCs w:val="22"/>
        </w:rPr>
        <w:t>congatec</w:t>
      </w:r>
      <w:proofErr w:type="spellEnd"/>
      <w:r>
        <w:rPr>
          <w:rFonts w:ascii="Hind107 Light" w:hAnsi="Hind107 Light" w:cs="Hind107 Light"/>
          <w:sz w:val="22"/>
          <w:szCs w:val="22"/>
        </w:rPr>
        <w:t xml:space="preserve"> Module</w:t>
      </w:r>
      <w:r w:rsidRPr="000E7D49">
        <w:rPr>
          <w:rFonts w:ascii="Hind107 Light" w:hAnsi="Hind107 Light" w:cs="Hind107 Light"/>
          <w:sz w:val="22"/>
          <w:szCs w:val="22"/>
        </w:rPr>
        <w:t>.</w:t>
      </w:r>
      <w:r>
        <w:rPr>
          <w:rFonts w:ascii="Hind107 Light" w:hAnsi="Hind107 Light" w:cs="Hind107 Light"/>
          <w:sz w:val="22"/>
          <w:szCs w:val="22"/>
        </w:rPr>
        <w:t xml:space="preserve"> </w:t>
      </w:r>
    </w:p>
    <w:p w:rsidR="00CC6800" w:rsidRPr="000E7D49" w:rsidRDefault="00CC6800" w:rsidP="00CC6800">
      <w:pPr>
        <w:spacing w:line="360" w:lineRule="auto"/>
        <w:rPr>
          <w:rFonts w:ascii="Hind107 Light" w:hAnsi="Hind107 Light" w:cs="Hind107 Light"/>
          <w:sz w:val="22"/>
          <w:szCs w:val="22"/>
        </w:rPr>
      </w:pPr>
    </w:p>
    <w:p w:rsidR="00CC6800" w:rsidRPr="000E7D49" w:rsidRDefault="00CC6800" w:rsidP="00CC6800">
      <w:pPr>
        <w:spacing w:line="360" w:lineRule="auto"/>
        <w:rPr>
          <w:rFonts w:ascii="Hind107 Light" w:hAnsi="Hind107 Light" w:cs="Hind107 Light"/>
          <w:b/>
          <w:sz w:val="22"/>
          <w:szCs w:val="22"/>
        </w:rPr>
      </w:pPr>
      <w:r w:rsidRPr="000E7D49">
        <w:rPr>
          <w:rFonts w:ascii="Hind107 Light" w:hAnsi="Hind107 Light" w:cs="Hind107 Light"/>
          <w:b/>
          <w:sz w:val="22"/>
          <w:szCs w:val="22"/>
        </w:rPr>
        <w:t xml:space="preserve">Die </w:t>
      </w:r>
      <w:r>
        <w:rPr>
          <w:rFonts w:ascii="Hind107 Light" w:hAnsi="Hind107 Light" w:cs="Hind107 Light"/>
          <w:b/>
          <w:sz w:val="22"/>
          <w:szCs w:val="22"/>
        </w:rPr>
        <w:t>technischen</w:t>
      </w:r>
      <w:r w:rsidRPr="000E7D49">
        <w:rPr>
          <w:rFonts w:ascii="Hind107 Light" w:hAnsi="Hind107 Light" w:cs="Hind107 Light"/>
          <w:b/>
          <w:sz w:val="22"/>
          <w:szCs w:val="22"/>
        </w:rPr>
        <w:t xml:space="preserve"> Detail</w:t>
      </w:r>
      <w:r>
        <w:rPr>
          <w:rFonts w:ascii="Hind107 Light" w:hAnsi="Hind107 Light" w:cs="Hind107 Light"/>
          <w:b/>
          <w:sz w:val="22"/>
          <w:szCs w:val="22"/>
        </w:rPr>
        <w:t>s</w:t>
      </w:r>
    </w:p>
    <w:p w:rsidR="00CC6800" w:rsidRDefault="00CC6800" w:rsidP="00CC6800">
      <w:pPr>
        <w:spacing w:line="360" w:lineRule="auto"/>
        <w:rPr>
          <w:rFonts w:ascii="Hind107 Light" w:hAnsi="Hind107 Light" w:cs="Hind107 Light"/>
          <w:sz w:val="22"/>
          <w:szCs w:val="22"/>
        </w:rPr>
      </w:pPr>
      <w:r w:rsidRPr="000E7D49">
        <w:rPr>
          <w:rFonts w:ascii="Hind107 Light" w:hAnsi="Hind107 Light" w:cs="Hind107 Light"/>
          <w:sz w:val="22"/>
          <w:szCs w:val="22"/>
        </w:rPr>
        <w:t xml:space="preserve">Die </w:t>
      </w:r>
      <w:r>
        <w:rPr>
          <w:rFonts w:ascii="Hind107 Light" w:hAnsi="Hind107 Light" w:cs="Hind107 Light"/>
          <w:sz w:val="22"/>
          <w:szCs w:val="22"/>
        </w:rPr>
        <w:t xml:space="preserve">neuen </w:t>
      </w:r>
      <w:r w:rsidRPr="000E7D49">
        <w:rPr>
          <w:rFonts w:ascii="Hind107 Light" w:hAnsi="Hind107 Light" w:cs="Hind107 Light"/>
          <w:sz w:val="22"/>
          <w:szCs w:val="22"/>
        </w:rPr>
        <w:t xml:space="preserve">conga-TR3 COM Express </w:t>
      </w:r>
      <w:r>
        <w:rPr>
          <w:rFonts w:ascii="Hind107 Light" w:hAnsi="Hind107 Light" w:cs="Hind107 Light"/>
          <w:sz w:val="22"/>
          <w:szCs w:val="22"/>
        </w:rPr>
        <w:t xml:space="preserve">Basic Module mit </w:t>
      </w:r>
      <w:r w:rsidRPr="000E7D49">
        <w:rPr>
          <w:rFonts w:ascii="Hind107 Light" w:hAnsi="Hind107 Light" w:cs="Hind107 Light"/>
          <w:sz w:val="22"/>
          <w:szCs w:val="22"/>
        </w:rPr>
        <w:t xml:space="preserve">Type 6 </w:t>
      </w:r>
      <w:proofErr w:type="spellStart"/>
      <w:r w:rsidRPr="000E7D49">
        <w:rPr>
          <w:rFonts w:ascii="Hind107 Light" w:hAnsi="Hind107 Light" w:cs="Hind107 Light"/>
          <w:sz w:val="22"/>
          <w:szCs w:val="22"/>
        </w:rPr>
        <w:t>Pinout</w:t>
      </w:r>
      <w:proofErr w:type="spellEnd"/>
      <w:r w:rsidRPr="000E7D49">
        <w:rPr>
          <w:rFonts w:ascii="Hind107 Light" w:hAnsi="Hind107 Light" w:cs="Hind107 Light"/>
          <w:sz w:val="22"/>
          <w:szCs w:val="22"/>
        </w:rPr>
        <w:t xml:space="preserve"> sind mit AMD Embedded R-Series SOC Prozessoren bestückt und unterstützen bis zu 32 GB schnellen DDR4 Speicher mit </w:t>
      </w:r>
      <w:r>
        <w:rPr>
          <w:rFonts w:ascii="Hind107 Light" w:hAnsi="Hind107 Light" w:cs="Hind107 Light"/>
          <w:sz w:val="22"/>
          <w:szCs w:val="22"/>
        </w:rPr>
        <w:t xml:space="preserve">optionalem </w:t>
      </w:r>
      <w:r w:rsidRPr="000E7D49">
        <w:rPr>
          <w:rFonts w:ascii="Hind107 Light" w:hAnsi="Hind107 Light" w:cs="Hind107 Light"/>
          <w:sz w:val="22"/>
          <w:szCs w:val="22"/>
        </w:rPr>
        <w:t xml:space="preserve">ECC. Die AMD Radeon™ HD GPU basiert auf AMDs Graphics Core Next (GCN) Generation 3 Architektur und versorgt bis zu drei unabhängiges 4k Displays mit 60 Hz via </w:t>
      </w:r>
      <w:proofErr w:type="spellStart"/>
      <w:r w:rsidRPr="000E7D49">
        <w:rPr>
          <w:rFonts w:ascii="Hind107 Light" w:hAnsi="Hind107 Light" w:cs="Hind107 Light"/>
          <w:sz w:val="22"/>
          <w:szCs w:val="22"/>
        </w:rPr>
        <w:t>eDP</w:t>
      </w:r>
      <w:proofErr w:type="spellEnd"/>
      <w:r w:rsidRPr="000E7D49">
        <w:rPr>
          <w:rFonts w:ascii="Hind107 Light" w:hAnsi="Hind107 Light" w:cs="Hind107 Light"/>
          <w:sz w:val="22"/>
          <w:szCs w:val="22"/>
        </w:rPr>
        <w:t xml:space="preserve">, </w:t>
      </w:r>
      <w:proofErr w:type="spellStart"/>
      <w:r w:rsidRPr="000E7D49">
        <w:rPr>
          <w:rFonts w:ascii="Hind107 Light" w:hAnsi="Hind107 Light" w:cs="Hind107 Light"/>
          <w:sz w:val="22"/>
          <w:szCs w:val="22"/>
        </w:rPr>
        <w:t>DisplayPort</w:t>
      </w:r>
      <w:proofErr w:type="spellEnd"/>
      <w:r w:rsidRPr="000E7D49">
        <w:rPr>
          <w:rFonts w:ascii="Hind107 Light" w:hAnsi="Hind107 Light" w:cs="Hind107 Light"/>
          <w:sz w:val="22"/>
          <w:szCs w:val="22"/>
        </w:rPr>
        <w:t xml:space="preserve"> 1.2 und HDMI 2.0</w:t>
      </w:r>
      <w:r>
        <w:rPr>
          <w:rFonts w:ascii="Hind107 Light" w:hAnsi="Hind107 Light" w:cs="Hind107 Light"/>
          <w:sz w:val="22"/>
          <w:szCs w:val="22"/>
        </w:rPr>
        <w:t xml:space="preserve">. Unterstützt wird zudem </w:t>
      </w:r>
      <w:r w:rsidRPr="000E7D49">
        <w:rPr>
          <w:rFonts w:ascii="Hind107 Light" w:hAnsi="Hind107 Light" w:cs="Hind107 Light"/>
          <w:sz w:val="22"/>
          <w:szCs w:val="22"/>
        </w:rPr>
        <w:t xml:space="preserve">OpenGL 4.0 </w:t>
      </w:r>
      <w:r>
        <w:rPr>
          <w:rFonts w:ascii="Hind107 Light" w:hAnsi="Hind107 Light" w:cs="Hind107 Light"/>
          <w:sz w:val="22"/>
          <w:szCs w:val="22"/>
        </w:rPr>
        <w:t xml:space="preserve">sowie </w:t>
      </w:r>
      <w:r w:rsidRPr="000E7D49">
        <w:rPr>
          <w:rFonts w:ascii="Hind107 Light" w:hAnsi="Hind107 Light" w:cs="Hind107 Light"/>
          <w:sz w:val="22"/>
          <w:szCs w:val="22"/>
        </w:rPr>
        <w:t>DirectX 12 für schnellere</w:t>
      </w:r>
      <w:r>
        <w:rPr>
          <w:rFonts w:ascii="Hind107 Light" w:hAnsi="Hind107 Light" w:cs="Hind107 Light"/>
          <w:sz w:val="22"/>
          <w:szCs w:val="22"/>
        </w:rPr>
        <w:t xml:space="preserve">, Windows 10 basierte 3D Grafik. </w:t>
      </w:r>
      <w:r w:rsidRPr="000E7D49">
        <w:rPr>
          <w:rFonts w:ascii="Hind107 Light" w:hAnsi="Hind107 Light" w:cs="Hind107 Light"/>
          <w:sz w:val="22"/>
          <w:szCs w:val="22"/>
        </w:rPr>
        <w:t xml:space="preserve">Die integrierten </w:t>
      </w:r>
      <w:r w:rsidRPr="000E7D49">
        <w:rPr>
          <w:rFonts w:ascii="Hind107 Light" w:hAnsi="Hind107 Light" w:cs="Hind107 Light"/>
          <w:sz w:val="22"/>
          <w:szCs w:val="22"/>
        </w:rPr>
        <w:lastRenderedPageBreak/>
        <w:t>Hardwarebeschleuniger ermöglichen ein energieeffizientes Streaming von HEVC Videos in beide Richtungen.</w:t>
      </w:r>
    </w:p>
    <w:p w:rsidR="00CC6800" w:rsidRDefault="00CC6800" w:rsidP="00CC6800">
      <w:pPr>
        <w:spacing w:line="360" w:lineRule="auto"/>
        <w:rPr>
          <w:rFonts w:ascii="Hind107 Light" w:hAnsi="Hind107 Light" w:cs="Hind107 Light"/>
          <w:sz w:val="22"/>
          <w:szCs w:val="22"/>
        </w:rPr>
      </w:pPr>
    </w:p>
    <w:p w:rsidR="00CC6800" w:rsidRPr="000E7D49" w:rsidRDefault="00E61EBB" w:rsidP="00CC6800">
      <w:pPr>
        <w:spacing w:line="360" w:lineRule="auto"/>
        <w:rPr>
          <w:rFonts w:ascii="Hind107 Light" w:eastAsia="MS Mincho" w:hAnsi="Hind107 Light" w:cs="Hind107 Light"/>
          <w:sz w:val="22"/>
          <w:szCs w:val="22"/>
        </w:rPr>
      </w:pPr>
      <w:r>
        <w:rPr>
          <w:rFonts w:ascii="Hind107 Light" w:hAnsi="Hind107 Light" w:cs="Hind107 Light"/>
          <w:sz w:val="22"/>
          <w:szCs w:val="22"/>
        </w:rPr>
        <w:t>Dank HSA 2.</w:t>
      </w:r>
      <w:bookmarkStart w:id="0" w:name="_GoBack"/>
      <w:bookmarkEnd w:id="0"/>
      <w:r w:rsidR="00CC6800" w:rsidRPr="000E7D49">
        <w:rPr>
          <w:rFonts w:ascii="Hind107 Light" w:hAnsi="Hind107 Light" w:cs="Hind107 Light"/>
          <w:sz w:val="22"/>
          <w:szCs w:val="22"/>
        </w:rPr>
        <w:t xml:space="preserve">0 und </w:t>
      </w:r>
      <w:proofErr w:type="spellStart"/>
      <w:r w:rsidR="00CC6800" w:rsidRPr="000E7D49">
        <w:rPr>
          <w:rFonts w:ascii="Hind107 Light" w:hAnsi="Hind107 Light" w:cs="Hind107 Light"/>
          <w:sz w:val="22"/>
          <w:szCs w:val="22"/>
        </w:rPr>
        <w:t>OpenCL</w:t>
      </w:r>
      <w:proofErr w:type="spellEnd"/>
      <w:r w:rsidR="00CC6800">
        <w:rPr>
          <w:rFonts w:ascii="Hind107 Light" w:hAnsi="Hind107 Light" w:cs="Hind107 Light"/>
          <w:sz w:val="22"/>
          <w:szCs w:val="22"/>
        </w:rPr>
        <w:t xml:space="preserve"> </w:t>
      </w:r>
      <w:r w:rsidR="00CC6800" w:rsidRPr="000E7D49">
        <w:rPr>
          <w:rFonts w:ascii="Hind107 Light" w:hAnsi="Hind107 Light" w:cs="Hind107 Light"/>
          <w:sz w:val="22"/>
          <w:szCs w:val="22"/>
        </w:rPr>
        <w:t xml:space="preserve">2.0 Support können </w:t>
      </w:r>
      <w:proofErr w:type="spellStart"/>
      <w:r w:rsidR="00CC6800" w:rsidRPr="000E7D49">
        <w:rPr>
          <w:rFonts w:ascii="Hind107 Light" w:hAnsi="Hind107 Light" w:cs="Hind107 Light"/>
          <w:sz w:val="22"/>
          <w:szCs w:val="22"/>
        </w:rPr>
        <w:t>Workloads</w:t>
      </w:r>
      <w:proofErr w:type="spellEnd"/>
      <w:r w:rsidR="00CC6800" w:rsidRPr="000E7D49">
        <w:rPr>
          <w:rFonts w:ascii="Hind107 Light" w:hAnsi="Hind107 Light" w:cs="Hind107 Light"/>
          <w:sz w:val="22"/>
          <w:szCs w:val="22"/>
        </w:rPr>
        <w:t xml:space="preserve"> </w:t>
      </w:r>
      <w:r w:rsidR="00CC6800">
        <w:rPr>
          <w:rFonts w:ascii="Hind107 Light" w:hAnsi="Hind107 Light" w:cs="Hind107 Light"/>
          <w:sz w:val="22"/>
          <w:szCs w:val="22"/>
        </w:rPr>
        <w:t>unmittelbar</w:t>
      </w:r>
      <w:r w:rsidR="00CC6800" w:rsidRPr="000E7D49">
        <w:rPr>
          <w:rFonts w:ascii="Hind107 Light" w:hAnsi="Hind107 Light" w:cs="Hind107 Light"/>
          <w:sz w:val="22"/>
          <w:szCs w:val="22"/>
        </w:rPr>
        <w:t xml:space="preserve"> </w:t>
      </w:r>
      <w:r w:rsidR="00CC6800">
        <w:rPr>
          <w:rFonts w:ascii="Hind107 Light" w:hAnsi="Hind107 Light" w:cs="Hind107 Light"/>
          <w:sz w:val="22"/>
          <w:szCs w:val="22"/>
        </w:rPr>
        <w:t>der</w:t>
      </w:r>
      <w:r w:rsidR="00CC6800" w:rsidRPr="000E7D49">
        <w:rPr>
          <w:rFonts w:ascii="Hind107 Light" w:hAnsi="Hind107 Light" w:cs="Hind107 Light"/>
          <w:sz w:val="22"/>
          <w:szCs w:val="22"/>
        </w:rPr>
        <w:t xml:space="preserve"> jeweils effektivsten </w:t>
      </w:r>
      <w:r w:rsidR="00CC6800">
        <w:rPr>
          <w:rFonts w:ascii="Hind107 Light" w:hAnsi="Hind107 Light" w:cs="Hind107 Light"/>
          <w:sz w:val="22"/>
          <w:szCs w:val="22"/>
        </w:rPr>
        <w:t>Verarbeitungseinheit</w:t>
      </w:r>
      <w:r w:rsidR="00CC6800" w:rsidRPr="000E7D49">
        <w:rPr>
          <w:rFonts w:ascii="Hind107 Light" w:hAnsi="Hind107 Light" w:cs="Hind107 Light"/>
          <w:sz w:val="22"/>
          <w:szCs w:val="22"/>
        </w:rPr>
        <w:t xml:space="preserve"> zugewiesen werden. In sicherheitskritischen Applikationen sorgt der integrierte </w:t>
      </w:r>
      <w:r w:rsidR="00CC6800">
        <w:rPr>
          <w:rFonts w:ascii="Hind107 Light" w:eastAsia="MS Mincho" w:hAnsi="Hind107 Light" w:cs="Hind107 Light"/>
          <w:sz w:val="22"/>
          <w:szCs w:val="22"/>
        </w:rPr>
        <w:t>AMD</w:t>
      </w:r>
      <w:r w:rsidR="00CC6800" w:rsidRPr="000E7D49">
        <w:rPr>
          <w:rFonts w:ascii="Hind107 Light" w:eastAsia="MS Mincho" w:hAnsi="Hind107 Light" w:cs="Hind107 Light"/>
          <w:sz w:val="22"/>
          <w:szCs w:val="22"/>
        </w:rPr>
        <w:t xml:space="preserve"> Secur</w:t>
      </w:r>
      <w:r w:rsidR="00CC6800">
        <w:rPr>
          <w:rFonts w:ascii="Hind107 Light" w:eastAsia="MS Mincho" w:hAnsi="Hind107 Light" w:cs="Hind107 Light"/>
          <w:sz w:val="22"/>
          <w:szCs w:val="22"/>
        </w:rPr>
        <w:t>e</w:t>
      </w:r>
      <w:r w:rsidR="00CC6800" w:rsidRPr="000E7D49">
        <w:rPr>
          <w:rFonts w:ascii="Hind107 Light" w:eastAsia="MS Mincho" w:hAnsi="Hind107 Light" w:cs="Hind107 Light"/>
          <w:sz w:val="22"/>
          <w:szCs w:val="22"/>
        </w:rPr>
        <w:t xml:space="preserve"> </w:t>
      </w:r>
      <w:proofErr w:type="spellStart"/>
      <w:r w:rsidR="00CC6800" w:rsidRPr="000E7D49">
        <w:rPr>
          <w:rFonts w:ascii="Hind107 Light" w:eastAsia="MS Mincho" w:hAnsi="Hind107 Light" w:cs="Hind107 Light"/>
          <w:sz w:val="22"/>
          <w:szCs w:val="22"/>
        </w:rPr>
        <w:t>Processor</w:t>
      </w:r>
      <w:proofErr w:type="spellEnd"/>
      <w:r w:rsidR="00CC6800" w:rsidRPr="000E7D49">
        <w:rPr>
          <w:rFonts w:ascii="Hind107 Light" w:eastAsia="MS Mincho" w:hAnsi="Hind107 Light" w:cs="Hind107 Light"/>
          <w:sz w:val="22"/>
          <w:szCs w:val="22"/>
        </w:rPr>
        <w:t xml:space="preserve"> für eine hardwarebeschleunigte </w:t>
      </w:r>
      <w:proofErr w:type="spellStart"/>
      <w:r w:rsidR="00CC6800" w:rsidRPr="000E7D49">
        <w:rPr>
          <w:rFonts w:ascii="Hind107 Light" w:eastAsia="MS Mincho" w:hAnsi="Hind107 Light" w:cs="Hind107 Light"/>
          <w:sz w:val="22"/>
          <w:szCs w:val="22"/>
        </w:rPr>
        <w:t>Ver</w:t>
      </w:r>
      <w:proofErr w:type="spellEnd"/>
      <w:r w:rsidR="00CC6800" w:rsidRPr="000E7D49">
        <w:rPr>
          <w:rFonts w:ascii="Hind107 Light" w:eastAsia="MS Mincho" w:hAnsi="Hind107 Light" w:cs="Hind107 Light"/>
          <w:sz w:val="22"/>
          <w:szCs w:val="22"/>
        </w:rPr>
        <w:t xml:space="preserve">- und Entschlüsselung von RSA, SHA und AES. Im Zusammenspiel mit dem optionalen </w:t>
      </w:r>
      <w:proofErr w:type="spellStart"/>
      <w:r w:rsidR="00CC6800" w:rsidRPr="000E7D49">
        <w:rPr>
          <w:rFonts w:ascii="Hind107 Light" w:eastAsia="MS Mincho" w:hAnsi="Hind107 Light" w:cs="Hind107 Light"/>
          <w:sz w:val="22"/>
          <w:szCs w:val="22"/>
        </w:rPr>
        <w:t>Trusted</w:t>
      </w:r>
      <w:proofErr w:type="spellEnd"/>
      <w:r w:rsidR="00CC6800" w:rsidRPr="000E7D49">
        <w:rPr>
          <w:rFonts w:ascii="Hind107 Light" w:eastAsia="MS Mincho" w:hAnsi="Hind107 Light" w:cs="Hind107 Light"/>
          <w:sz w:val="22"/>
          <w:szCs w:val="22"/>
        </w:rPr>
        <w:t xml:space="preserve"> </w:t>
      </w:r>
      <w:proofErr w:type="spellStart"/>
      <w:r w:rsidR="00CC6800" w:rsidRPr="000E7D49">
        <w:rPr>
          <w:rFonts w:ascii="Hind107 Light" w:eastAsia="MS Mincho" w:hAnsi="Hind107 Light" w:cs="Hind107 Light"/>
          <w:sz w:val="22"/>
          <w:szCs w:val="22"/>
        </w:rPr>
        <w:t>Platform</w:t>
      </w:r>
      <w:proofErr w:type="spellEnd"/>
      <w:r w:rsidR="00CC6800" w:rsidRPr="000E7D49">
        <w:rPr>
          <w:rFonts w:ascii="Hind107 Light" w:eastAsia="MS Mincho" w:hAnsi="Hind107 Light" w:cs="Hind107 Light"/>
          <w:sz w:val="22"/>
          <w:szCs w:val="22"/>
        </w:rPr>
        <w:t xml:space="preserve"> Modul bietet das conga-TR3 eine hohe Sicherheit für </w:t>
      </w:r>
      <w:proofErr w:type="spellStart"/>
      <w:r w:rsidR="00CC6800" w:rsidRPr="000E7D49">
        <w:rPr>
          <w:rFonts w:ascii="Hind107 Light" w:eastAsia="MS Mincho" w:hAnsi="Hind107 Light" w:cs="Hind107 Light"/>
          <w:sz w:val="22"/>
          <w:szCs w:val="22"/>
        </w:rPr>
        <w:t>IoT</w:t>
      </w:r>
      <w:proofErr w:type="spellEnd"/>
      <w:r w:rsidR="00CC6800" w:rsidRPr="000E7D49">
        <w:rPr>
          <w:rFonts w:ascii="Hind107 Light" w:eastAsia="MS Mincho" w:hAnsi="Hind107 Light" w:cs="Hind107 Light"/>
          <w:sz w:val="22"/>
          <w:szCs w:val="22"/>
        </w:rPr>
        <w:t>-, Big Data- und Telekommunikationsapplikationen.</w:t>
      </w:r>
    </w:p>
    <w:p w:rsidR="00CC6800" w:rsidRPr="000E7D49" w:rsidRDefault="00CC6800" w:rsidP="00CC6800">
      <w:pPr>
        <w:spacing w:line="360" w:lineRule="auto"/>
        <w:rPr>
          <w:rFonts w:ascii="Hind107 Light" w:eastAsia="MS Mincho" w:hAnsi="Hind107 Light" w:cs="Hind107 Light"/>
          <w:sz w:val="22"/>
          <w:szCs w:val="22"/>
        </w:rPr>
      </w:pPr>
    </w:p>
    <w:p w:rsidR="00CC6800" w:rsidRPr="000E7D49" w:rsidRDefault="00CC6800" w:rsidP="00CC6800">
      <w:pPr>
        <w:spacing w:line="360" w:lineRule="auto"/>
        <w:rPr>
          <w:rFonts w:ascii="Hind107 Light" w:hAnsi="Hind107 Light" w:cs="Hind107 Light"/>
          <w:sz w:val="22"/>
          <w:szCs w:val="22"/>
        </w:rPr>
      </w:pPr>
      <w:r w:rsidRPr="000E7D49">
        <w:rPr>
          <w:rFonts w:ascii="Hind107 Light" w:hAnsi="Hind107 Light" w:cs="Hind107 Light"/>
          <w:sz w:val="22"/>
          <w:szCs w:val="22"/>
        </w:rPr>
        <w:t>Die neuen Computermodule unterstützen das COM Express Type 6 Pin-Out mit PEG 3.0 x8, Gigabit Ethernet, 4x USB 3.0/2.0, 4x USB 2.0, SPI, LPC sowie I²C</w:t>
      </w:r>
      <w:r>
        <w:rPr>
          <w:rFonts w:ascii="Hind107 Light" w:hAnsi="Hind107 Light" w:cs="Hind107 Light"/>
          <w:sz w:val="22"/>
          <w:szCs w:val="22"/>
        </w:rPr>
        <w:t>,</w:t>
      </w:r>
      <w:r w:rsidRPr="000E7D49">
        <w:rPr>
          <w:rFonts w:ascii="Hind107 Light" w:hAnsi="Hind107 Light" w:cs="Hind107 Light"/>
          <w:sz w:val="22"/>
          <w:szCs w:val="22"/>
        </w:rPr>
        <w:t xml:space="preserve"> SD</w:t>
      </w:r>
      <w:r>
        <w:rPr>
          <w:rFonts w:ascii="Hind107 Light" w:hAnsi="Hind107 Light" w:cs="Hind107 Light"/>
          <w:sz w:val="22"/>
          <w:szCs w:val="22"/>
        </w:rPr>
        <w:t>IO</w:t>
      </w:r>
      <w:r w:rsidRPr="000E7D49">
        <w:rPr>
          <w:rFonts w:ascii="Hind107 Light" w:hAnsi="Hind107 Light" w:cs="Hind107 Light"/>
          <w:sz w:val="22"/>
          <w:szCs w:val="22"/>
        </w:rPr>
        <w:t xml:space="preserve"> und 2x UART. Betriebssystem-Support wird für Linux </w:t>
      </w:r>
      <w:r>
        <w:rPr>
          <w:rFonts w:ascii="Hind107 Light" w:hAnsi="Hind107 Light" w:cs="Hind107 Light"/>
          <w:sz w:val="22"/>
          <w:szCs w:val="22"/>
        </w:rPr>
        <w:t xml:space="preserve">und </w:t>
      </w:r>
      <w:r w:rsidRPr="000E7D49">
        <w:rPr>
          <w:rFonts w:ascii="Hind107 Light" w:hAnsi="Hind107 Light" w:cs="Hind107 Light"/>
          <w:sz w:val="22"/>
          <w:szCs w:val="22"/>
        </w:rPr>
        <w:t xml:space="preserve">Microsoft Windows </w:t>
      </w:r>
      <w:r>
        <w:rPr>
          <w:rFonts w:ascii="Hind107 Light" w:hAnsi="Hind107 Light" w:cs="Hind107 Light"/>
          <w:sz w:val="22"/>
          <w:szCs w:val="22"/>
        </w:rPr>
        <w:t xml:space="preserve">10, 8.1 und optional auch Windows 7 </w:t>
      </w:r>
      <w:r w:rsidRPr="000E7D49">
        <w:rPr>
          <w:rFonts w:ascii="Hind107 Light" w:hAnsi="Hind107 Light" w:cs="Hind107 Light"/>
          <w:sz w:val="22"/>
          <w:szCs w:val="22"/>
        </w:rPr>
        <w:t xml:space="preserve">geboten. Umfangreiches, das Design-In erleichterndes Zubehör </w:t>
      </w:r>
      <w:r>
        <w:rPr>
          <w:rFonts w:ascii="Hind107 Light" w:hAnsi="Hind107 Light" w:cs="Hind107 Light"/>
          <w:sz w:val="22"/>
          <w:szCs w:val="22"/>
        </w:rPr>
        <w:t>rundet das Angebot ab.</w:t>
      </w:r>
    </w:p>
    <w:p w:rsidR="00CC6800" w:rsidRPr="000E7D49" w:rsidRDefault="00CC6800" w:rsidP="00CC6800">
      <w:pPr>
        <w:spacing w:line="360" w:lineRule="auto"/>
        <w:rPr>
          <w:rFonts w:ascii="Hind107 Light" w:hAnsi="Hind107 Light" w:cs="Hind107 Light"/>
          <w:sz w:val="22"/>
          <w:szCs w:val="22"/>
        </w:rPr>
      </w:pPr>
    </w:p>
    <w:p w:rsidR="00CC6800" w:rsidRPr="000E7D49" w:rsidRDefault="00CC6800" w:rsidP="00CC6800">
      <w:pPr>
        <w:spacing w:line="360" w:lineRule="auto"/>
        <w:rPr>
          <w:rFonts w:ascii="Hind107 Light" w:hAnsi="Hind107 Light" w:cs="Hind107 Light"/>
          <w:sz w:val="22"/>
          <w:szCs w:val="22"/>
        </w:rPr>
      </w:pPr>
      <w:r w:rsidRPr="000E7D49">
        <w:rPr>
          <w:rFonts w:ascii="Hind107 Light" w:hAnsi="Hind107 Light" w:cs="Hind107 Light"/>
          <w:sz w:val="22"/>
          <w:szCs w:val="22"/>
        </w:rPr>
        <w:t xml:space="preserve">Verfügbar sind </w:t>
      </w:r>
      <w:r>
        <w:rPr>
          <w:rFonts w:ascii="Hind107 Light" w:hAnsi="Hind107 Light" w:cs="Hind107 Light"/>
          <w:sz w:val="22"/>
          <w:szCs w:val="22"/>
        </w:rPr>
        <w:t>aktuell</w:t>
      </w:r>
      <w:r w:rsidRPr="000E7D49">
        <w:rPr>
          <w:rFonts w:ascii="Hind107 Light" w:hAnsi="Hind107 Light" w:cs="Hind107 Light"/>
          <w:sz w:val="22"/>
          <w:szCs w:val="22"/>
        </w:rPr>
        <w:t xml:space="preserve"> folgende CPU Versionen:</w:t>
      </w:r>
    </w:p>
    <w:p w:rsidR="00CC6800" w:rsidRPr="00652B11" w:rsidRDefault="00CC6800" w:rsidP="00CC6800">
      <w:pPr>
        <w:spacing w:line="360" w:lineRule="auto"/>
        <w:rPr>
          <w:rFonts w:ascii="Hind107 Light" w:hAnsi="Hind107 Light" w:cs="Hind107 Light"/>
          <w:sz w:val="22"/>
          <w:szCs w:val="22"/>
        </w:rPr>
      </w:pPr>
    </w:p>
    <w:tbl>
      <w:tblPr>
        <w:tblW w:w="8512" w:type="dxa"/>
        <w:tblLayout w:type="fixed"/>
        <w:tblCellMar>
          <w:left w:w="0" w:type="dxa"/>
          <w:right w:w="0" w:type="dxa"/>
        </w:tblCellMar>
        <w:tblLook w:val="04A0" w:firstRow="1" w:lastRow="0" w:firstColumn="1" w:lastColumn="0" w:noHBand="0" w:noVBand="1"/>
      </w:tblPr>
      <w:tblGrid>
        <w:gridCol w:w="1278"/>
        <w:gridCol w:w="142"/>
        <w:gridCol w:w="851"/>
        <w:gridCol w:w="141"/>
        <w:gridCol w:w="851"/>
        <w:gridCol w:w="142"/>
        <w:gridCol w:w="1228"/>
        <w:gridCol w:w="134"/>
        <w:gridCol w:w="992"/>
        <w:gridCol w:w="142"/>
        <w:gridCol w:w="992"/>
        <w:gridCol w:w="142"/>
        <w:gridCol w:w="1477"/>
      </w:tblGrid>
      <w:tr w:rsidR="00CC6800" w:rsidRPr="00402A15" w:rsidTr="004347BE">
        <w:trPr>
          <w:trHeight w:val="113"/>
        </w:trPr>
        <w:tc>
          <w:tcPr>
            <w:tcW w:w="1278" w:type="dxa"/>
            <w:tcBorders>
              <w:top w:val="nil"/>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Prozessor</w:t>
            </w:r>
            <w:r w:rsidRPr="008F589A">
              <w:rPr>
                <w:rFonts w:ascii="Hind107 Light" w:hAnsi="Hind107 Light" w:cs="Hind107 Light"/>
                <w:b/>
                <w:bCs/>
                <w:color w:val="262626"/>
                <w:sz w:val="18"/>
                <w:szCs w:val="18"/>
                <w:lang w:eastAsia="de-DE"/>
              </w:rPr>
              <w:t xml:space="preserve"> </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sidRPr="008F589A">
              <w:rPr>
                <w:rFonts w:ascii="Hind107 Light" w:hAnsi="Hind107 Light" w:cs="Hind107 Light"/>
                <w:b/>
                <w:bCs/>
                <w:color w:val="262626"/>
                <w:sz w:val="18"/>
                <w:szCs w:val="18"/>
                <w:lang w:eastAsia="de-DE"/>
              </w:rPr>
              <w:t>Cores</w:t>
            </w:r>
          </w:p>
        </w:tc>
        <w:tc>
          <w:tcPr>
            <w:tcW w:w="141"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 xml:space="preserve">L2 </w:t>
            </w:r>
            <w:r w:rsidRPr="008F589A">
              <w:rPr>
                <w:rFonts w:ascii="Hind107 Light" w:hAnsi="Hind107 Light" w:cs="Hind107 Light"/>
                <w:b/>
                <w:bCs/>
                <w:color w:val="262626"/>
                <w:sz w:val="18"/>
                <w:szCs w:val="18"/>
                <w:lang w:eastAsia="de-DE"/>
              </w:rPr>
              <w:t>Cache</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1228" w:type="dxa"/>
            <w:tcBorders>
              <w:top w:val="nil"/>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 xml:space="preserve">Taktrate </w:t>
            </w:r>
            <w:r w:rsidRPr="00402A15">
              <w:rPr>
                <w:rFonts w:ascii="Hind107 Light" w:hAnsi="Hind107 Light" w:cs="Hind107 Light"/>
                <w:b/>
                <w:bCs/>
                <w:color w:val="262626"/>
                <w:sz w:val="18"/>
                <w:szCs w:val="18"/>
                <w:lang w:eastAsia="de-DE"/>
              </w:rPr>
              <w:br/>
              <w:t>(15 W TDP)</w:t>
            </w:r>
          </w:p>
        </w:tc>
        <w:tc>
          <w:tcPr>
            <w:tcW w:w="134" w:type="dxa"/>
            <w:tcBorders>
              <w:top w:val="nil"/>
              <w:left w:val="nil"/>
              <w:bottom w:val="nil"/>
              <w:right w:val="nil"/>
            </w:tcBorders>
            <w:tcMar>
              <w:top w:w="72" w:type="dxa"/>
              <w:left w:w="57" w:type="dxa"/>
              <w:bottom w:w="72" w:type="dxa"/>
              <w:right w:w="57"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 xml:space="preserve">Max. </w:t>
            </w:r>
            <w:proofErr w:type="spellStart"/>
            <w:r w:rsidRPr="00402A15">
              <w:rPr>
                <w:rFonts w:ascii="Hind107 Light" w:hAnsi="Hind107 Light" w:cs="Hind107 Light"/>
                <w:b/>
                <w:bCs/>
                <w:color w:val="262626"/>
                <w:sz w:val="18"/>
                <w:szCs w:val="18"/>
                <w:lang w:eastAsia="de-DE"/>
              </w:rPr>
              <w:t>Takrate</w:t>
            </w:r>
            <w:proofErr w:type="spellEnd"/>
            <w:r w:rsidRPr="00402A15">
              <w:rPr>
                <w:rFonts w:ascii="Hind107 Light" w:hAnsi="Hind107 Light" w:cs="Hind107 Light"/>
                <w:b/>
                <w:bCs/>
                <w:color w:val="262626"/>
                <w:sz w:val="18"/>
                <w:szCs w:val="18"/>
                <w:lang w:eastAsia="de-DE"/>
              </w:rPr>
              <w:t xml:space="preserve"> (</w:t>
            </w:r>
            <w:proofErr w:type="spellStart"/>
            <w:r w:rsidRPr="00402A15">
              <w:rPr>
                <w:rFonts w:ascii="Hind107 Light" w:hAnsi="Hind107 Light" w:cs="Hind107 Light"/>
                <w:b/>
                <w:bCs/>
                <w:color w:val="262626"/>
                <w:sz w:val="18"/>
                <w:szCs w:val="18"/>
                <w:lang w:eastAsia="de-DE"/>
              </w:rPr>
              <w:t>Boost</w:t>
            </w:r>
            <w:proofErr w:type="spellEnd"/>
            <w:r w:rsidRPr="00402A15">
              <w:rPr>
                <w:rFonts w:ascii="Hind107 Light" w:hAnsi="Hind107 Light" w:cs="Hind107 Light"/>
                <w:b/>
                <w:bCs/>
                <w:color w:val="262626"/>
                <w:sz w:val="18"/>
                <w:szCs w:val="18"/>
                <w:lang w:eastAsia="de-DE"/>
              </w:rPr>
              <w:t>)</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TDP Range</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p>
        </w:tc>
        <w:tc>
          <w:tcPr>
            <w:tcW w:w="1477" w:type="dxa"/>
            <w:tcBorders>
              <w:top w:val="nil"/>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Grafik</w:t>
            </w:r>
          </w:p>
        </w:tc>
      </w:tr>
      <w:tr w:rsidR="00CC6800" w:rsidRPr="00402A15" w:rsidTr="004347BE">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rPr>
                <w:rFonts w:ascii="Hind107 Light" w:hAnsi="Hind107 Light" w:cs="Hind107 Light"/>
                <w:b/>
                <w:bCs/>
                <w:color w:val="262626"/>
                <w:sz w:val="18"/>
                <w:szCs w:val="18"/>
                <w:lang w:eastAsia="de-DE"/>
              </w:rPr>
            </w:pPr>
            <w:r w:rsidRPr="006066BF">
              <w:rPr>
                <w:rFonts w:ascii="Hind107 Light" w:hAnsi="Hind107 Light" w:cs="Hind107 Light"/>
                <w:b/>
                <w:bCs/>
                <w:color w:val="262626"/>
                <w:sz w:val="18"/>
                <w:szCs w:val="18"/>
                <w:lang w:eastAsia="de-DE"/>
              </w:rPr>
              <w:t>AMD Embedded RX-421BD</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402A15" w:rsidRDefault="00CC6800" w:rsidP="004347BE">
            <w:pPr>
              <w:rPr>
                <w:rFonts w:ascii="Hind107 Light" w:hAnsi="Hind107 Light" w:cs="Hind107 Light"/>
                <w:b/>
                <w:bCs/>
                <w:color w:val="262626"/>
                <w:sz w:val="18"/>
                <w:szCs w:val="18"/>
                <w:lang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2 MB</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2,1 GHz</w:t>
            </w:r>
          </w:p>
        </w:tc>
        <w:tc>
          <w:tcPr>
            <w:tcW w:w="134" w:type="dxa"/>
            <w:tcBorders>
              <w:top w:val="nil"/>
              <w:left w:val="nil"/>
              <w:bottom w:val="nil"/>
              <w:right w:val="nil"/>
            </w:tcBorders>
            <w:tcMar>
              <w:top w:w="72" w:type="dxa"/>
              <w:left w:w="57" w:type="dxa"/>
              <w:bottom w:w="72" w:type="dxa"/>
              <w:right w:w="57"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3,4 GHz</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jc w:val="cente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12/35 W</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402A15" w:rsidRDefault="00CC6800" w:rsidP="004347BE">
            <w:pPr>
              <w:rPr>
                <w:rFonts w:ascii="Hind107 Light" w:hAnsi="Hind107 Light" w:cs="Hind107 Light"/>
                <w:b/>
                <w:bCs/>
                <w:color w:val="262626"/>
                <w:sz w:val="18"/>
                <w:szCs w:val="18"/>
                <w:lang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402A15" w:rsidRDefault="00CC6800" w:rsidP="004347BE">
            <w:pPr>
              <w:rPr>
                <w:rFonts w:ascii="Hind107 Light" w:hAnsi="Hind107 Light" w:cs="Hind107 Light"/>
                <w:b/>
                <w:bCs/>
                <w:color w:val="262626"/>
                <w:sz w:val="18"/>
                <w:szCs w:val="18"/>
                <w:lang w:eastAsia="de-DE"/>
              </w:rPr>
            </w:pPr>
            <w:r w:rsidRPr="00402A15">
              <w:rPr>
                <w:rFonts w:ascii="Hind107 Light" w:hAnsi="Hind107 Light" w:cs="Hind107 Light"/>
                <w:b/>
                <w:bCs/>
                <w:color w:val="262626"/>
                <w:sz w:val="18"/>
                <w:szCs w:val="18"/>
                <w:lang w:eastAsia="de-DE"/>
              </w:rPr>
              <w:t>AMD Radeon™ HD R7</w:t>
            </w:r>
          </w:p>
        </w:tc>
      </w:tr>
      <w:tr w:rsidR="00CC6800" w:rsidRPr="008F589A" w:rsidTr="004347BE">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r w:rsidRPr="006066BF">
              <w:rPr>
                <w:rFonts w:ascii="Hind107 Light" w:hAnsi="Hind107 Light" w:cs="Hind107 Light"/>
                <w:b/>
                <w:bCs/>
                <w:color w:val="262626"/>
                <w:sz w:val="18"/>
                <w:szCs w:val="18"/>
                <w:lang w:val="en-US" w:eastAsia="de-DE"/>
              </w:rPr>
              <w:t>AMD Embedded RX-418GD</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sidRPr="008F589A">
              <w:rPr>
                <w:rFonts w:ascii="Hind107 Light" w:hAnsi="Hind107 Light" w:cs="Hind107 Light"/>
                <w:b/>
                <w:bCs/>
                <w:color w:val="262626"/>
                <w:sz w:val="18"/>
                <w:szCs w:val="18"/>
                <w:lang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2</w:t>
            </w:r>
            <w:r w:rsidRPr="008F589A">
              <w:rPr>
                <w:rFonts w:ascii="Hind107 Light" w:hAnsi="Hind107 Light" w:cs="Hind107 Light"/>
                <w:b/>
                <w:bCs/>
                <w:color w:val="262626"/>
                <w:sz w:val="18"/>
                <w:szCs w:val="18"/>
                <w:lang w:eastAsia="de-DE"/>
              </w:rPr>
              <w:t xml:space="preserve"> </w:t>
            </w:r>
            <w:r>
              <w:rPr>
                <w:rFonts w:ascii="Hind107 Light" w:hAnsi="Hind107 Light" w:cs="Hind107 Light"/>
                <w:b/>
                <w:bCs/>
                <w:color w:val="262626"/>
                <w:sz w:val="18"/>
                <w:szCs w:val="18"/>
                <w:lang w:eastAsia="de-DE"/>
              </w:rPr>
              <w:t>MB</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1,8</w:t>
            </w:r>
            <w:r w:rsidRPr="008F589A">
              <w:rPr>
                <w:rFonts w:ascii="Hind107 Light" w:hAnsi="Hind107 Light" w:cs="Hind107 Light"/>
                <w:b/>
                <w:bCs/>
                <w:color w:val="262626"/>
                <w:sz w:val="18"/>
                <w:szCs w:val="18"/>
                <w:lang w:eastAsia="de-DE"/>
              </w:rPr>
              <w:t xml:space="preserve"> </w:t>
            </w:r>
            <w:r>
              <w:rPr>
                <w:rFonts w:ascii="Hind107 Light" w:hAnsi="Hind107 Light" w:cs="Hind107 Light"/>
                <w:b/>
                <w:bCs/>
                <w:color w:val="262626"/>
                <w:sz w:val="18"/>
                <w:szCs w:val="18"/>
                <w:lang w:eastAsia="de-DE"/>
              </w:rPr>
              <w:t>GHz</w:t>
            </w:r>
          </w:p>
        </w:tc>
        <w:tc>
          <w:tcPr>
            <w:tcW w:w="134"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sidRPr="008F589A">
              <w:rPr>
                <w:rFonts w:ascii="Hind107 Light" w:hAnsi="Hind107 Light" w:cs="Hind107 Light"/>
                <w:b/>
                <w:bCs/>
                <w:color w:val="262626"/>
                <w:sz w:val="18"/>
                <w:szCs w:val="18"/>
                <w:lang w:eastAsia="de-DE"/>
              </w:rPr>
              <w:t>3</w:t>
            </w:r>
            <w:r>
              <w:rPr>
                <w:rFonts w:ascii="Hind107 Light" w:hAnsi="Hind107 Light" w:cs="Hind107 Light"/>
                <w:b/>
                <w:bCs/>
                <w:color w:val="262626"/>
                <w:sz w:val="18"/>
                <w:szCs w:val="18"/>
                <w:lang w:eastAsia="de-DE"/>
              </w:rPr>
              <w:t>,2</w:t>
            </w:r>
            <w:r w:rsidRPr="008F589A">
              <w:rPr>
                <w:rFonts w:ascii="Hind107 Light" w:hAnsi="Hind107 Light" w:cs="Hind107 Light"/>
                <w:b/>
                <w:bCs/>
                <w:color w:val="262626"/>
                <w:sz w:val="18"/>
                <w:szCs w:val="18"/>
                <w:lang w:eastAsia="de-DE"/>
              </w:rPr>
              <w:t xml:space="preserve"> </w:t>
            </w:r>
            <w:r>
              <w:rPr>
                <w:rFonts w:ascii="Hind107 Light" w:hAnsi="Hind107 Light" w:cs="Hind107 Light"/>
                <w:b/>
                <w:bCs/>
                <w:color w:val="262626"/>
                <w:sz w:val="18"/>
                <w:szCs w:val="18"/>
                <w:lang w:eastAsia="de-DE"/>
              </w:rPr>
              <w:t>GHz</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sidRPr="008F589A">
              <w:rPr>
                <w:rFonts w:ascii="Hind107 Light" w:hAnsi="Hind107 Light" w:cs="Hind107 Light"/>
                <w:b/>
                <w:bCs/>
                <w:color w:val="262626"/>
                <w:sz w:val="18"/>
                <w:szCs w:val="18"/>
                <w:lang w:eastAsia="de-DE"/>
              </w:rPr>
              <w:t>1</w:t>
            </w:r>
            <w:r>
              <w:rPr>
                <w:rFonts w:ascii="Hind107 Light" w:hAnsi="Hind107 Light" w:cs="Hind107 Light"/>
                <w:b/>
                <w:bCs/>
                <w:color w:val="262626"/>
                <w:sz w:val="18"/>
                <w:szCs w:val="18"/>
                <w:lang w:eastAsia="de-DE"/>
              </w:rPr>
              <w:t>2</w:t>
            </w:r>
            <w:r w:rsidRPr="008F589A">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35</w:t>
            </w:r>
            <w:r w:rsidRPr="008F589A">
              <w:rPr>
                <w:rFonts w:ascii="Hind107 Light" w:hAnsi="Hind107 Light" w:cs="Hind107 Light"/>
                <w:b/>
                <w:bCs/>
                <w:color w:val="262626"/>
                <w:sz w:val="18"/>
                <w:szCs w:val="18"/>
                <w:lang w:eastAsia="de-DE"/>
              </w:rPr>
              <w:t xml:space="preserve"> </w:t>
            </w:r>
            <w:r>
              <w:rPr>
                <w:rFonts w:ascii="Hind107 Light" w:hAnsi="Hind107 Light" w:cs="Hind107 Light"/>
                <w:b/>
                <w:bCs/>
                <w:color w:val="262626"/>
                <w:sz w:val="18"/>
                <w:szCs w:val="18"/>
                <w:lang w:eastAsia="de-DE"/>
              </w:rPr>
              <w:t>W</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r w:rsidRPr="00AF1CF1">
              <w:rPr>
                <w:rFonts w:ascii="Hind107 Light" w:hAnsi="Hind107 Light" w:cs="Hind107 Light"/>
                <w:b/>
                <w:bCs/>
                <w:color w:val="262626"/>
                <w:sz w:val="18"/>
                <w:szCs w:val="18"/>
                <w:lang w:val="en-US" w:eastAsia="de-DE"/>
              </w:rPr>
              <w:t xml:space="preserve">AMD Radeon™ HD </w:t>
            </w:r>
            <w:r>
              <w:rPr>
                <w:rFonts w:ascii="Hind107 Light" w:hAnsi="Hind107 Light" w:cs="Hind107 Light"/>
                <w:b/>
                <w:bCs/>
                <w:color w:val="262626"/>
                <w:sz w:val="18"/>
                <w:szCs w:val="18"/>
                <w:lang w:val="en-US" w:eastAsia="de-DE"/>
              </w:rPr>
              <w:t>R6</w:t>
            </w:r>
          </w:p>
        </w:tc>
      </w:tr>
      <w:tr w:rsidR="00CC6800" w:rsidRPr="008F589A" w:rsidTr="004347BE">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r w:rsidRPr="006066BF">
              <w:rPr>
                <w:rFonts w:ascii="Hind107 Light" w:hAnsi="Hind107 Light" w:cs="Hind107 Light"/>
                <w:b/>
                <w:bCs/>
                <w:color w:val="262626"/>
                <w:sz w:val="18"/>
                <w:szCs w:val="18"/>
                <w:lang w:eastAsia="de-DE"/>
              </w:rPr>
              <w:t>AMD Embedded RX-216GD</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sidRPr="008F589A">
              <w:rPr>
                <w:rFonts w:ascii="Hind107 Light" w:hAnsi="Hind107 Light" w:cs="Hind107 Light"/>
                <w:b/>
                <w:bCs/>
                <w:color w:val="262626"/>
                <w:sz w:val="18"/>
                <w:szCs w:val="18"/>
                <w:lang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1</w:t>
            </w:r>
            <w:r w:rsidRPr="008F589A">
              <w:rPr>
                <w:rFonts w:ascii="Hind107 Light" w:hAnsi="Hind107 Light" w:cs="Hind107 Light"/>
                <w:b/>
                <w:bCs/>
                <w:color w:val="262626"/>
                <w:sz w:val="18"/>
                <w:szCs w:val="18"/>
                <w:lang w:eastAsia="de-DE"/>
              </w:rPr>
              <w:t xml:space="preserve"> </w:t>
            </w:r>
            <w:r>
              <w:rPr>
                <w:rFonts w:ascii="Hind107 Light" w:hAnsi="Hind107 Light" w:cs="Hind107 Light"/>
                <w:b/>
                <w:bCs/>
                <w:color w:val="262626"/>
                <w:sz w:val="18"/>
                <w:szCs w:val="18"/>
                <w:lang w:eastAsia="de-DE"/>
              </w:rPr>
              <w:t>MB</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1,6 GHz</w:t>
            </w:r>
          </w:p>
        </w:tc>
        <w:tc>
          <w:tcPr>
            <w:tcW w:w="134"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3,0</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jc w:val="center"/>
              <w:rPr>
                <w:rFonts w:ascii="Hind107 Light" w:hAnsi="Hind107 Light" w:cs="Hind107 Light"/>
                <w:b/>
                <w:bCs/>
                <w:color w:val="262626"/>
                <w:sz w:val="18"/>
                <w:szCs w:val="18"/>
                <w:lang w:eastAsia="de-DE"/>
              </w:rPr>
            </w:pPr>
            <w:r w:rsidRPr="008F589A">
              <w:rPr>
                <w:rFonts w:ascii="Hind107 Light" w:hAnsi="Hind107 Light" w:cs="Hind107 Light"/>
                <w:b/>
                <w:bCs/>
                <w:color w:val="262626"/>
                <w:sz w:val="18"/>
                <w:szCs w:val="18"/>
                <w:lang w:eastAsia="de-DE"/>
              </w:rPr>
              <w:t>1</w:t>
            </w:r>
            <w:r>
              <w:rPr>
                <w:rFonts w:ascii="Hind107 Light" w:hAnsi="Hind107 Light" w:cs="Hind107 Light"/>
                <w:b/>
                <w:bCs/>
                <w:color w:val="262626"/>
                <w:sz w:val="18"/>
                <w:szCs w:val="18"/>
                <w:lang w:eastAsia="de-DE"/>
              </w:rPr>
              <w:t>2</w:t>
            </w:r>
            <w:r w:rsidRPr="008F589A">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1</w:t>
            </w:r>
            <w:r w:rsidRPr="008F589A">
              <w:rPr>
                <w:rFonts w:ascii="Hind107 Light" w:hAnsi="Hind107 Light" w:cs="Hind107 Light"/>
                <w:b/>
                <w:bCs/>
                <w:color w:val="262626"/>
                <w:sz w:val="18"/>
                <w:szCs w:val="18"/>
                <w:lang w:eastAsia="de-DE"/>
              </w:rPr>
              <w:t xml:space="preserve">5 </w:t>
            </w:r>
            <w:r>
              <w:rPr>
                <w:rFonts w:ascii="Hind107 Light" w:hAnsi="Hind107 Light" w:cs="Hind107 Light"/>
                <w:b/>
                <w:bCs/>
                <w:color w:val="262626"/>
                <w:sz w:val="18"/>
                <w:szCs w:val="18"/>
                <w:lang w:eastAsia="de-DE"/>
              </w:rPr>
              <w:t>W</w:t>
            </w:r>
          </w:p>
        </w:tc>
        <w:tc>
          <w:tcPr>
            <w:tcW w:w="142" w:type="dxa"/>
            <w:tcBorders>
              <w:top w:val="nil"/>
              <w:left w:val="nil"/>
              <w:bottom w:val="nil"/>
              <w:right w:val="nil"/>
            </w:tcBorders>
            <w:tcMar>
              <w:top w:w="72" w:type="dxa"/>
              <w:left w:w="57" w:type="dxa"/>
              <w:bottom w:w="72" w:type="dxa"/>
              <w:right w:w="57"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CC6800" w:rsidRPr="008F589A" w:rsidRDefault="00CC6800" w:rsidP="004347BE">
            <w:pPr>
              <w:rPr>
                <w:rFonts w:ascii="Hind107 Light" w:hAnsi="Hind107 Light" w:cs="Hind107 Light"/>
                <w:b/>
                <w:bCs/>
                <w:color w:val="262626"/>
                <w:sz w:val="18"/>
                <w:szCs w:val="18"/>
                <w:lang w:eastAsia="de-DE"/>
              </w:rPr>
            </w:pPr>
            <w:r w:rsidRPr="00AF1CF1">
              <w:rPr>
                <w:rFonts w:ascii="Hind107 Light" w:hAnsi="Hind107 Light" w:cs="Hind107 Light"/>
                <w:b/>
                <w:bCs/>
                <w:color w:val="262626"/>
                <w:sz w:val="18"/>
                <w:szCs w:val="18"/>
                <w:lang w:val="en-US" w:eastAsia="de-DE"/>
              </w:rPr>
              <w:t xml:space="preserve">AMD Radeon™ HD </w:t>
            </w:r>
            <w:r>
              <w:rPr>
                <w:rFonts w:ascii="Hind107 Light" w:hAnsi="Hind107 Light" w:cs="Hind107 Light"/>
                <w:b/>
                <w:bCs/>
                <w:color w:val="262626"/>
                <w:sz w:val="18"/>
                <w:szCs w:val="18"/>
                <w:lang w:val="en-US" w:eastAsia="de-DE"/>
              </w:rPr>
              <w:t>R5</w:t>
            </w:r>
          </w:p>
        </w:tc>
      </w:tr>
    </w:tbl>
    <w:p w:rsidR="00CC6800" w:rsidRDefault="00CC6800" w:rsidP="00CC6800">
      <w:pPr>
        <w:spacing w:line="360" w:lineRule="auto"/>
        <w:rPr>
          <w:rFonts w:ascii="Hind107 Light" w:hAnsi="Hind107 Light" w:cs="Hind107 Light"/>
          <w:sz w:val="22"/>
          <w:szCs w:val="22"/>
        </w:rPr>
      </w:pPr>
    </w:p>
    <w:p w:rsidR="00CC6800" w:rsidRDefault="00CC6800" w:rsidP="00CC6800">
      <w:pPr>
        <w:spacing w:line="360" w:lineRule="auto"/>
        <w:rPr>
          <w:rFonts w:ascii="Hind107 Light" w:hAnsi="Hind107 Light" w:cs="Hind107 Light"/>
          <w:sz w:val="22"/>
          <w:szCs w:val="22"/>
        </w:rPr>
      </w:pPr>
      <w:r>
        <w:rPr>
          <w:rFonts w:ascii="Hind107 Light" w:hAnsi="Hind107 Light" w:cs="Hind107 Light"/>
          <w:sz w:val="22"/>
          <w:szCs w:val="22"/>
        </w:rPr>
        <w:t xml:space="preserve">Das Datenblatt und weitere Informationen zum neuen conga-TR3 </w:t>
      </w:r>
      <w:r w:rsidRPr="00652B11">
        <w:rPr>
          <w:rFonts w:ascii="Hind107 Light" w:hAnsi="Hind107 Light" w:cs="Hind107 Light"/>
          <w:sz w:val="22"/>
          <w:szCs w:val="22"/>
        </w:rPr>
        <w:t xml:space="preserve">Computermodul </w:t>
      </w:r>
      <w:r w:rsidRPr="0011421F">
        <w:rPr>
          <w:rFonts w:ascii="Hind107 Light" w:hAnsi="Hind107 Light" w:cs="Hind107 Light"/>
          <w:sz w:val="22"/>
          <w:szCs w:val="22"/>
        </w:rPr>
        <w:t xml:space="preserve">unter: </w:t>
      </w:r>
      <w:hyperlink r:id="rId11" w:history="1">
        <w:r w:rsidRPr="00AC0A2E">
          <w:rPr>
            <w:rStyle w:val="Hyperlink"/>
            <w:rFonts w:ascii="Hind107 Light" w:hAnsi="Hind107 Light" w:cs="Hind107 Light"/>
            <w:sz w:val="22"/>
            <w:szCs w:val="22"/>
          </w:rPr>
          <w:t>http://www.congatec.com/de/produkte/com-express-typ6/conga-tr3.html</w:t>
        </w:r>
      </w:hyperlink>
      <w:r>
        <w:rPr>
          <w:rFonts w:ascii="Hind107 Light" w:hAnsi="Hind107 Light" w:cs="Hind107 Light"/>
          <w:sz w:val="22"/>
          <w:szCs w:val="22"/>
        </w:rPr>
        <w:t xml:space="preserve"> </w:t>
      </w:r>
    </w:p>
    <w:p w:rsidR="00D108AC" w:rsidRPr="001937B6" w:rsidRDefault="00D108AC" w:rsidP="00D108AC">
      <w:pPr>
        <w:pStyle w:val="Standard1"/>
        <w:ind w:right="283"/>
        <w:rPr>
          <w:rFonts w:ascii="Hind Light" w:hAnsi="Hind Light" w:cs="Hind Light"/>
          <w:b/>
          <w:sz w:val="18"/>
          <w:szCs w:val="18"/>
        </w:rPr>
      </w:pPr>
    </w:p>
    <w:p w:rsidR="00D108AC" w:rsidRPr="0077153C" w:rsidRDefault="00D108AC" w:rsidP="00D108AC">
      <w:pPr>
        <w:pStyle w:val="Standard1"/>
        <w:ind w:right="283"/>
        <w:rPr>
          <w:rFonts w:ascii="Hind Light" w:hAnsi="Hind Light" w:cs="Hind Light"/>
          <w:b/>
          <w:sz w:val="16"/>
          <w:szCs w:val="16"/>
        </w:rPr>
      </w:pPr>
      <w:r w:rsidRPr="0077153C">
        <w:rPr>
          <w:rFonts w:ascii="Hind Light" w:hAnsi="Hind Light" w:cs="Hind Light"/>
          <w:b/>
          <w:sz w:val="16"/>
          <w:szCs w:val="16"/>
        </w:rPr>
        <w:t>Über die congatec AG</w:t>
      </w:r>
    </w:p>
    <w:p w:rsidR="00D108AC" w:rsidRPr="0077153C" w:rsidRDefault="00D108AC" w:rsidP="00D108AC">
      <w:pPr>
        <w:pStyle w:val="Standard1"/>
        <w:spacing w:after="120"/>
        <w:rPr>
          <w:rFonts w:ascii="Hind Light" w:hAnsi="Hind Light" w:cs="Hind Light"/>
          <w:sz w:val="16"/>
          <w:szCs w:val="16"/>
        </w:rPr>
      </w:pPr>
      <w:r w:rsidRPr="0077153C">
        <w:rPr>
          <w:rFonts w:ascii="Hind Light" w:hAnsi="Hind Light" w:cs="Hind Light"/>
          <w:sz w:val="16"/>
          <w:szCs w:val="16"/>
        </w:rPr>
        <w:lastRenderedPageBreak/>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77153C">
        <w:rPr>
          <w:rFonts w:ascii="Hind Light" w:hAnsi="Hind Light" w:cs="Hind Light"/>
          <w:sz w:val="16"/>
          <w:szCs w:val="16"/>
        </w:rPr>
        <w:t>of</w:t>
      </w:r>
      <w:proofErr w:type="spellEnd"/>
      <w:r w:rsidRPr="0077153C">
        <w:rPr>
          <w:rFonts w:ascii="Hind Light" w:hAnsi="Hind Light" w:cs="Hind Light"/>
          <w:sz w:val="16"/>
          <w:szCs w:val="16"/>
        </w:rPr>
        <w:t>-</w:t>
      </w:r>
      <w:proofErr w:type="spellStart"/>
      <w:r w:rsidRPr="0077153C">
        <w:rPr>
          <w:rFonts w:ascii="Hind Light" w:hAnsi="Hind Light" w:cs="Hind Light"/>
          <w:sz w:val="16"/>
          <w:szCs w:val="16"/>
        </w:rPr>
        <w:t>Sale</w:t>
      </w:r>
      <w:proofErr w:type="spellEnd"/>
      <w:r w:rsidRPr="0077153C">
        <w:rPr>
          <w:rFonts w:ascii="Hind Light" w:hAnsi="Hind Light" w:cs="Hind Light"/>
          <w:sz w:val="16"/>
          <w:szCs w:val="16"/>
        </w:rPr>
        <w:t xml:space="preserve"> Anwendungen eingesetzt. Wesentliches </w:t>
      </w:r>
      <w:r w:rsidR="00EC5DB5">
        <w:rPr>
          <w:rFonts w:ascii="Hind Light" w:hAnsi="Hind Light" w:cs="Hind Light"/>
          <w:sz w:val="16"/>
          <w:szCs w:val="16"/>
        </w:rPr>
        <w:t>Kernkompetenz</w:t>
      </w:r>
      <w:r w:rsidRPr="0077153C">
        <w:rPr>
          <w:rFonts w:ascii="Hind Light" w:hAnsi="Hind Light" w:cs="Hind Light"/>
          <w:sz w:val="16"/>
          <w:szCs w:val="16"/>
        </w:rPr>
        <w:t xml:space="preserve"> sind besondere, erweiterte BIOS- und Treiberunterstützung und umfangreiche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2" w:history="1">
        <w:r w:rsidRPr="0077153C">
          <w:rPr>
            <w:rStyle w:val="Hyperlink"/>
            <w:rFonts w:ascii="Hind Light" w:hAnsi="Hind Light" w:cs="Hind Light"/>
            <w:sz w:val="16"/>
            <w:szCs w:val="16"/>
          </w:rPr>
          <w:t>www.congatec.de</w:t>
        </w:r>
      </w:hyperlink>
      <w:r w:rsidRPr="0077153C">
        <w:rPr>
          <w:rFonts w:ascii="Hind Light" w:hAnsi="Hind Light" w:cs="Hind Light"/>
          <w:sz w:val="16"/>
          <w:szCs w:val="16"/>
        </w:rPr>
        <w:t xml:space="preserve"> oder bei </w:t>
      </w:r>
      <w:hyperlink r:id="rId13" w:history="1">
        <w:r w:rsidRPr="0077153C">
          <w:rPr>
            <w:rStyle w:val="Hyperlink"/>
            <w:rFonts w:ascii="Hind Light" w:hAnsi="Hind Light" w:cs="Hind Light"/>
            <w:sz w:val="16"/>
            <w:szCs w:val="16"/>
          </w:rPr>
          <w:t>Facebook</w:t>
        </w:r>
      </w:hyperlink>
      <w:r w:rsidRPr="0077153C">
        <w:rPr>
          <w:rFonts w:ascii="Hind Light" w:hAnsi="Hind Light" w:cs="Hind Light"/>
          <w:sz w:val="16"/>
          <w:szCs w:val="16"/>
        </w:rPr>
        <w:t xml:space="preserve">, </w:t>
      </w:r>
      <w:hyperlink r:id="rId14" w:history="1">
        <w:r w:rsidRPr="0077153C">
          <w:rPr>
            <w:rStyle w:val="Hyperlink"/>
            <w:rFonts w:ascii="Hind Light" w:hAnsi="Hind Light" w:cs="Hind Light"/>
            <w:sz w:val="16"/>
            <w:szCs w:val="16"/>
          </w:rPr>
          <w:t>Twitter</w:t>
        </w:r>
      </w:hyperlink>
      <w:r w:rsidRPr="0077153C">
        <w:rPr>
          <w:rFonts w:ascii="Hind Light" w:hAnsi="Hind Light" w:cs="Hind Light"/>
          <w:sz w:val="16"/>
          <w:szCs w:val="16"/>
        </w:rPr>
        <w:t xml:space="preserve"> und </w:t>
      </w:r>
      <w:hyperlink r:id="rId15" w:history="1">
        <w:r w:rsidRPr="0077153C">
          <w:rPr>
            <w:rStyle w:val="Hyperlink"/>
            <w:rFonts w:ascii="Hind Light" w:hAnsi="Hind Light" w:cs="Hind Light"/>
            <w:sz w:val="16"/>
            <w:szCs w:val="16"/>
          </w:rPr>
          <w:t>YouTube</w:t>
        </w:r>
      </w:hyperlink>
      <w:r w:rsidRPr="0077153C">
        <w:rPr>
          <w:rFonts w:ascii="Hind Light" w:hAnsi="Hind Light" w:cs="Hind Light"/>
          <w:sz w:val="16"/>
          <w:szCs w:val="16"/>
        </w:rPr>
        <w:t>.</w:t>
      </w: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108AC"/>
    <w:rsid w:val="000A1392"/>
    <w:rsid w:val="000D66D4"/>
    <w:rsid w:val="000E736A"/>
    <w:rsid w:val="00157343"/>
    <w:rsid w:val="00212286"/>
    <w:rsid w:val="00316678"/>
    <w:rsid w:val="003C4A3E"/>
    <w:rsid w:val="004D2177"/>
    <w:rsid w:val="005C6F13"/>
    <w:rsid w:val="0069359A"/>
    <w:rsid w:val="006A3CB0"/>
    <w:rsid w:val="006A6542"/>
    <w:rsid w:val="006F6952"/>
    <w:rsid w:val="00881B43"/>
    <w:rsid w:val="00915B34"/>
    <w:rsid w:val="0098707E"/>
    <w:rsid w:val="009977CF"/>
    <w:rsid w:val="009C65B6"/>
    <w:rsid w:val="009C67E6"/>
    <w:rsid w:val="009F47C7"/>
    <w:rsid w:val="00A31EE8"/>
    <w:rsid w:val="00A869E5"/>
    <w:rsid w:val="00B37B7A"/>
    <w:rsid w:val="00B86632"/>
    <w:rsid w:val="00C67E97"/>
    <w:rsid w:val="00CC6800"/>
    <w:rsid w:val="00D108AC"/>
    <w:rsid w:val="00DA2F1F"/>
    <w:rsid w:val="00E529F9"/>
    <w:rsid w:val="00E5322D"/>
    <w:rsid w:val="00E61EBB"/>
    <w:rsid w:val="00EC5DB5"/>
    <w:rsid w:val="00F35E05"/>
    <w:rsid w:val="00F453DD"/>
    <w:rsid w:val="00FA3174"/>
    <w:rsid w:val="00FE3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de/produkte/com-express-typ6/conga-tr3.html"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5511</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3</cp:revision>
  <dcterms:created xsi:type="dcterms:W3CDTF">2015-10-20T07:05:00Z</dcterms:created>
  <dcterms:modified xsi:type="dcterms:W3CDTF">2015-10-22T08:05:00Z</dcterms:modified>
</cp:coreProperties>
</file>