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AC" w:rsidRPr="00F6326F" w:rsidRDefault="00D108AC" w:rsidP="00D108AC">
      <w:pPr>
        <w:spacing w:after="120"/>
        <w:rPr>
          <w:rFonts w:ascii="Hind107 Light" w:eastAsia="Arial" w:hAnsi="Hind107 Light" w:cs="Hind107 Light"/>
          <w:b/>
          <w:sz w:val="20"/>
          <w:u w:val="single"/>
        </w:rPr>
      </w:pPr>
      <w:r w:rsidRPr="00F6326F">
        <w:rPr>
          <w:rFonts w:ascii="Hind107 Light" w:eastAsia="Arial" w:hAnsi="Hind107 Light" w:cs="Hind107 Light"/>
          <w:b/>
          <w:noProof/>
          <w:sz w:val="20"/>
          <w:u w:val="single"/>
          <w:lang w:val="es-ES" w:eastAsia="es-ES"/>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87EE2" w:rsidRPr="00F6326F" w:rsidTr="002D2DD9">
        <w:trPr>
          <w:trHeight w:val="270"/>
        </w:trPr>
        <w:tc>
          <w:tcPr>
            <w:tcW w:w="2552" w:type="dxa"/>
            <w:shd w:val="clear" w:color="auto" w:fill="auto"/>
          </w:tcPr>
          <w:p w:rsidR="00E87EE2" w:rsidRPr="00F6326F" w:rsidRDefault="00E87EE2" w:rsidP="0033437F">
            <w:pPr>
              <w:pStyle w:val="Standard1"/>
              <w:tabs>
                <w:tab w:val="left" w:pos="1920"/>
              </w:tabs>
              <w:snapToGrid w:val="0"/>
              <w:ind w:right="-1058"/>
              <w:rPr>
                <w:rFonts w:ascii="Hind107 Light" w:hAnsi="Hind107 Light" w:cs="Hind107 Light"/>
                <w:b/>
                <w:sz w:val="18"/>
                <w:szCs w:val="18"/>
                <w:u w:val="single"/>
              </w:rPr>
            </w:pPr>
            <w:r w:rsidRPr="00F6326F">
              <w:rPr>
                <w:rFonts w:ascii="Hind107 Light" w:hAnsi="Hind107 Light" w:cs="Hind107 Light"/>
                <w:b/>
                <w:sz w:val="18"/>
                <w:szCs w:val="18"/>
                <w:u w:val="single"/>
              </w:rPr>
              <w:t>Reader Enquiries:</w:t>
            </w:r>
          </w:p>
        </w:tc>
        <w:tc>
          <w:tcPr>
            <w:tcW w:w="2551" w:type="dxa"/>
            <w:shd w:val="clear" w:color="auto" w:fill="auto"/>
          </w:tcPr>
          <w:p w:rsidR="00E87EE2" w:rsidRPr="00F6326F" w:rsidRDefault="00E87EE2" w:rsidP="00FE1A34">
            <w:pPr>
              <w:pStyle w:val="Standard1"/>
              <w:snapToGrid w:val="0"/>
              <w:rPr>
                <w:rFonts w:ascii="Hind107 Light" w:hAnsi="Hind107 Light" w:cs="Hind107 Light"/>
                <w:b/>
                <w:sz w:val="18"/>
                <w:szCs w:val="18"/>
                <w:u w:val="single"/>
              </w:rPr>
            </w:pPr>
            <w:r w:rsidRPr="00F6326F">
              <w:rPr>
                <w:rFonts w:ascii="Hind107 Light" w:hAnsi="Hind107 Light" w:cs="Hind107 Light"/>
                <w:b/>
                <w:sz w:val="18"/>
                <w:szCs w:val="18"/>
                <w:u w:val="single"/>
              </w:rPr>
              <w:t>Press Contact:</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80"/>
              <w:ind w:right="-1058"/>
              <w:rPr>
                <w:rFonts w:ascii="Hind107 Light" w:hAnsi="Hind107 Light" w:cs="Hind107 Light"/>
                <w:b/>
                <w:sz w:val="18"/>
                <w:szCs w:val="18"/>
              </w:rPr>
            </w:pPr>
            <w:r w:rsidRPr="00F6326F">
              <w:rPr>
                <w:rFonts w:ascii="Hind107 Light" w:hAnsi="Hind107 Light" w:cs="Hind107 Light"/>
                <w:b/>
                <w:sz w:val="18"/>
                <w:szCs w:val="18"/>
              </w:rPr>
              <w:t>congatec AG</w:t>
            </w:r>
          </w:p>
        </w:tc>
        <w:tc>
          <w:tcPr>
            <w:tcW w:w="2551" w:type="dxa"/>
            <w:shd w:val="clear" w:color="auto" w:fill="auto"/>
          </w:tcPr>
          <w:p w:rsidR="00E40B37" w:rsidRPr="00F6326F" w:rsidRDefault="00E40B37" w:rsidP="002D2DD9">
            <w:pPr>
              <w:pStyle w:val="Standard1"/>
              <w:snapToGrid w:val="0"/>
              <w:spacing w:before="80"/>
              <w:rPr>
                <w:rFonts w:ascii="Hind107 Light" w:hAnsi="Hind107 Light" w:cs="Hind107 Light"/>
                <w:b/>
                <w:sz w:val="18"/>
                <w:szCs w:val="18"/>
              </w:rPr>
            </w:pPr>
            <w:r w:rsidRPr="00F6326F">
              <w:rPr>
                <w:rFonts w:ascii="Hind107 Light" w:hAnsi="Hind107 Light" w:cs="Hind107 Light"/>
                <w:b/>
                <w:sz w:val="18"/>
                <w:szCs w:val="18"/>
              </w:rPr>
              <w:t xml:space="preserve">SAMS Network </w:t>
            </w:r>
          </w:p>
        </w:tc>
      </w:tr>
      <w:tr w:rsidR="00E40B37" w:rsidRPr="00F6326F" w:rsidTr="002D2DD9">
        <w:tblPrEx>
          <w:tblCellMar>
            <w:left w:w="70" w:type="dxa"/>
            <w:right w:w="70" w:type="dxa"/>
          </w:tblCellMar>
        </w:tblPrEx>
        <w:trPr>
          <w:trHeight w:val="101"/>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Christian Eder</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Michael Hennen</w:t>
            </w:r>
          </w:p>
        </w:tc>
      </w:tr>
      <w:tr w:rsidR="00E40B37" w:rsidRPr="00F6326F" w:rsidTr="002D2DD9">
        <w:tblPrEx>
          <w:tblCellMar>
            <w:left w:w="70" w:type="dxa"/>
            <w:right w:w="70" w:type="dxa"/>
          </w:tblCellMar>
        </w:tblPrEx>
        <w:trPr>
          <w:trHeight w:val="227"/>
        </w:trPr>
        <w:tc>
          <w:tcPr>
            <w:tcW w:w="2552"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+49-991-2700-0</w:t>
            </w:r>
          </w:p>
        </w:tc>
        <w:tc>
          <w:tcPr>
            <w:tcW w:w="2551" w:type="dxa"/>
            <w:shd w:val="clear" w:color="auto" w:fill="auto"/>
          </w:tcPr>
          <w:p w:rsidR="00E40B37" w:rsidRPr="00F6326F" w:rsidRDefault="00E40B37" w:rsidP="002D2DD9">
            <w:pPr>
              <w:pStyle w:val="Standard1"/>
              <w:snapToGrid w:val="0"/>
              <w:spacing w:before="20"/>
              <w:rPr>
                <w:rFonts w:ascii="Hind107 Light" w:hAnsi="Hind107 Light" w:cs="Hind107 Light"/>
                <w:sz w:val="18"/>
                <w:szCs w:val="18"/>
              </w:rPr>
            </w:pPr>
            <w:r w:rsidRPr="00F6326F">
              <w:rPr>
                <w:rFonts w:ascii="Hind107 Light" w:hAnsi="Hind107 Light" w:cs="Hind107 Light"/>
                <w:sz w:val="18"/>
                <w:szCs w:val="18"/>
              </w:rPr>
              <w:t>Phone: +49-2405-4526720</w:t>
            </w:r>
          </w:p>
        </w:tc>
      </w:tr>
      <w:tr w:rsidR="00E40B37" w:rsidRPr="00F6326F" w:rsidTr="002D2DD9">
        <w:tblPrEx>
          <w:tblCellMar>
            <w:left w:w="70" w:type="dxa"/>
            <w:right w:w="70" w:type="dxa"/>
          </w:tblCellMar>
        </w:tblPrEx>
        <w:trPr>
          <w:trHeight w:val="273"/>
        </w:trPr>
        <w:tc>
          <w:tcPr>
            <w:tcW w:w="2552" w:type="dxa"/>
            <w:shd w:val="clear" w:color="auto" w:fill="auto"/>
          </w:tcPr>
          <w:p w:rsidR="00E40B37" w:rsidRPr="00F6326F" w:rsidRDefault="00E258FB" w:rsidP="008C7D2A">
            <w:pPr>
              <w:pStyle w:val="Standard1"/>
              <w:snapToGrid w:val="0"/>
              <w:spacing w:before="20"/>
              <w:rPr>
                <w:rFonts w:ascii="Hind107 Light" w:hAnsi="Hind107 Light" w:cs="Hind107 Light"/>
                <w:sz w:val="18"/>
                <w:szCs w:val="18"/>
              </w:rPr>
            </w:pPr>
            <w:hyperlink r:id="rId5" w:history="1">
              <w:r w:rsidR="00E40B37" w:rsidRPr="00F6326F">
                <w:rPr>
                  <w:rStyle w:val="Hipervnculo"/>
                  <w:rFonts w:ascii="Hind107 Light" w:hAnsi="Hind107 Light" w:cs="Hind107 Light"/>
                  <w:sz w:val="18"/>
                  <w:szCs w:val="18"/>
                </w:rPr>
                <w:t>info@congatec.com</w:t>
              </w:r>
            </w:hyperlink>
          </w:p>
          <w:p w:rsidR="00E40B37" w:rsidRPr="00F6326F" w:rsidRDefault="00E258FB" w:rsidP="002D2DD9">
            <w:pPr>
              <w:pStyle w:val="Standard1"/>
              <w:snapToGrid w:val="0"/>
              <w:spacing w:before="20"/>
              <w:rPr>
                <w:rFonts w:ascii="Hind107 Light" w:hAnsi="Hind107 Light" w:cs="Hind107 Light"/>
                <w:sz w:val="18"/>
                <w:szCs w:val="18"/>
              </w:rPr>
            </w:pPr>
            <w:hyperlink r:id="rId6" w:history="1">
              <w:r w:rsidR="00DC0E48" w:rsidRPr="00A97629">
                <w:rPr>
                  <w:rStyle w:val="Hipervnculo"/>
                  <w:rFonts w:ascii="Hind107 Light" w:hAnsi="Hind107 Light" w:cs="Hind107 Light"/>
                  <w:sz w:val="18"/>
                  <w:szCs w:val="18"/>
                </w:rPr>
                <w:t>www.congatec.es</w:t>
              </w:r>
            </w:hyperlink>
            <w:r w:rsidR="00DC0E48">
              <w:rPr>
                <w:rFonts w:ascii="Hind107 Light" w:hAnsi="Hind107 Light" w:cs="Hind107 Light"/>
                <w:sz w:val="18"/>
                <w:szCs w:val="18"/>
              </w:rPr>
              <w:t xml:space="preserve"> </w:t>
            </w:r>
          </w:p>
        </w:tc>
        <w:tc>
          <w:tcPr>
            <w:tcW w:w="2551" w:type="dxa"/>
            <w:shd w:val="clear" w:color="auto" w:fill="auto"/>
          </w:tcPr>
          <w:p w:rsidR="00E40B37" w:rsidRPr="00F6326F" w:rsidRDefault="00E258FB" w:rsidP="008C7D2A">
            <w:pPr>
              <w:pStyle w:val="Standard1"/>
              <w:snapToGrid w:val="0"/>
              <w:spacing w:before="20"/>
              <w:rPr>
                <w:rFonts w:ascii="Hind107 Light" w:hAnsi="Hind107 Light" w:cs="Hind107 Light"/>
                <w:sz w:val="18"/>
                <w:szCs w:val="18"/>
              </w:rPr>
            </w:pPr>
            <w:hyperlink r:id="rId7" w:history="1">
              <w:r w:rsidR="00E40B37" w:rsidRPr="00F6326F">
                <w:rPr>
                  <w:rStyle w:val="Hipervnculo"/>
                  <w:rFonts w:ascii="Hind107 Light" w:hAnsi="Hind107 Light" w:cs="Hind107 Light"/>
                  <w:sz w:val="18"/>
                  <w:szCs w:val="18"/>
                </w:rPr>
                <w:t>info@sams-network.com</w:t>
              </w:r>
            </w:hyperlink>
          </w:p>
          <w:p w:rsidR="00E40B37" w:rsidRPr="00F6326F" w:rsidRDefault="00E258FB" w:rsidP="002D2DD9">
            <w:pPr>
              <w:pStyle w:val="Standard1"/>
              <w:snapToGrid w:val="0"/>
              <w:spacing w:before="20"/>
              <w:rPr>
                <w:rFonts w:ascii="Hind107 Light" w:hAnsi="Hind107 Light" w:cs="Hind107 Light"/>
                <w:sz w:val="18"/>
                <w:szCs w:val="18"/>
              </w:rPr>
            </w:pPr>
            <w:hyperlink r:id="rId8" w:history="1">
              <w:r w:rsidR="00E40B37" w:rsidRPr="00F6326F">
                <w:rPr>
                  <w:rStyle w:val="Hipervnculo"/>
                  <w:rFonts w:ascii="Hind107 Light" w:hAnsi="Hind107 Light" w:cs="Hind107 Light"/>
                  <w:sz w:val="18"/>
                  <w:szCs w:val="18"/>
                </w:rPr>
                <w:t>www.sams-network.com</w:t>
              </w:r>
            </w:hyperlink>
          </w:p>
        </w:tc>
      </w:tr>
    </w:tbl>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D108AC" w:rsidRPr="00F6326F" w:rsidRDefault="00D108AC" w:rsidP="00D108AC">
      <w:pPr>
        <w:rPr>
          <w:rFonts w:ascii="Hind107 Light" w:hAnsi="Hind107 Light" w:cs="Hind107 Light"/>
          <w:i/>
          <w:iCs/>
          <w:color w:val="000000"/>
          <w:sz w:val="16"/>
          <w:szCs w:val="16"/>
        </w:rPr>
      </w:pPr>
    </w:p>
    <w:p w:rsidR="00E570B4" w:rsidRPr="00CC0FFC" w:rsidRDefault="00E570B4" w:rsidP="00E570B4">
      <w:pPr>
        <w:spacing w:after="120"/>
        <w:rPr>
          <w:rFonts w:ascii="Hind Light" w:hAnsi="Hind Light" w:cs="Hind Light"/>
          <w:noProof/>
          <w:lang w:eastAsia="de-DE"/>
        </w:rPr>
      </w:pPr>
      <w:r>
        <w:rPr>
          <w:rFonts w:ascii="Hind Light" w:hAnsi="Hind Light" w:cs="Hind Light"/>
          <w:noProof/>
          <w:lang w:val="es-ES" w:eastAsia="es-ES"/>
        </w:rPr>
        <w:drawing>
          <wp:inline distT="0" distB="0" distL="0" distR="0">
            <wp:extent cx="1524000"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ELX_rep with shadow_min-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085850"/>
                    </a:xfrm>
                    <a:prstGeom prst="rect">
                      <a:avLst/>
                    </a:prstGeom>
                  </pic:spPr>
                </pic:pic>
              </a:graphicData>
            </a:graphic>
          </wp:inline>
        </w:drawing>
      </w:r>
    </w:p>
    <w:p w:rsidR="00E570B4" w:rsidRPr="00BD1046" w:rsidRDefault="00E570B4" w:rsidP="00E570B4">
      <w:pPr>
        <w:spacing w:after="120"/>
        <w:rPr>
          <w:rFonts w:ascii="Hind107 Light" w:hAnsi="Hind107 Light" w:cs="Hind107 Light"/>
          <w:i/>
          <w:noProof/>
          <w:sz w:val="16"/>
          <w:szCs w:val="16"/>
          <w:lang w:val="it-IT" w:eastAsia="de-DE"/>
        </w:rPr>
      </w:pPr>
      <w:r w:rsidRPr="00BD1046">
        <w:rPr>
          <w:rFonts w:ascii="Hind107 Light" w:hAnsi="Hind107 Light" w:cs="Hind107 Light"/>
          <w:i/>
          <w:noProof/>
          <w:sz w:val="16"/>
          <w:szCs w:val="16"/>
          <w:lang w:val="it-IT" w:eastAsia="de-DE"/>
        </w:rPr>
        <w:t>Ciclo de vida ampliado: Los módulos ETX y XTX de congatec con procesadores AMD Geode™ LX 800 lanzados en 2005 y 2007 están disponibles al menos hasta 2019</w:t>
      </w:r>
    </w:p>
    <w:p w:rsidR="00256643" w:rsidRPr="00DC0E48" w:rsidRDefault="00256643" w:rsidP="00FE76DA">
      <w:pPr>
        <w:spacing w:after="120"/>
        <w:rPr>
          <w:rFonts w:ascii="Hind107 Light" w:hAnsi="Hind107 Light" w:cs="Hind107 Light"/>
          <w:i/>
          <w:noProof/>
          <w:sz w:val="16"/>
          <w:szCs w:val="16"/>
          <w:lang w:val="it-IT" w:eastAsia="de-DE"/>
        </w:rPr>
      </w:pPr>
      <w:r w:rsidRPr="00DC0E48">
        <w:rPr>
          <w:rFonts w:ascii="Hind107 Light" w:hAnsi="Hind107 Light" w:cs="Hind107 Light"/>
          <w:i/>
          <w:noProof/>
          <w:sz w:val="16"/>
          <w:szCs w:val="16"/>
          <w:lang w:val="it-IT" w:eastAsia="de-DE"/>
        </w:rPr>
        <w:t xml:space="preserve">Texto y foto también disponible online en::  </w:t>
      </w:r>
      <w:hyperlink r:id="rId10" w:history="1">
        <w:r w:rsidRPr="00DC0E48">
          <w:rPr>
            <w:rFonts w:ascii="Hind107 Light" w:hAnsi="Hind107 Light" w:cs="Hind107 Light"/>
            <w:i/>
            <w:noProof/>
            <w:sz w:val="16"/>
            <w:szCs w:val="16"/>
            <w:lang w:val="it-IT" w:eastAsia="de-DE"/>
          </w:rPr>
          <w:t>http://www.congatec.com/press</w:t>
        </w:r>
      </w:hyperlink>
    </w:p>
    <w:p w:rsidR="00EC47A8" w:rsidRPr="00DC0E48" w:rsidRDefault="00EC47A8" w:rsidP="00EC47A8">
      <w:pPr>
        <w:spacing w:after="120"/>
        <w:rPr>
          <w:rFonts w:ascii="Hind107 Light" w:hAnsi="Hind107 Light" w:cs="Hind107 Light"/>
          <w:b/>
          <w:u w:val="single"/>
          <w:lang w:val="it-IT"/>
        </w:rPr>
      </w:pPr>
    </w:p>
    <w:p w:rsidR="00EC47A8" w:rsidRPr="00F6326F" w:rsidRDefault="00692E3F" w:rsidP="002F6BB9">
      <w:pPr>
        <w:tabs>
          <w:tab w:val="left" w:pos="2998"/>
        </w:tabs>
        <w:rPr>
          <w:rFonts w:ascii="Hind107 Light" w:hAnsi="Hind107 Light" w:cs="Hind107 Light"/>
          <w:b/>
          <w:i/>
          <w:iCs/>
          <w:color w:val="000000"/>
          <w:sz w:val="18"/>
          <w:szCs w:val="18"/>
          <w:u w:val="single"/>
          <w:lang w:val="it-IT"/>
        </w:rPr>
      </w:pPr>
      <w:r w:rsidRPr="00F6326F">
        <w:rPr>
          <w:rFonts w:ascii="Hind107 Light" w:hAnsi="Hind107 Light" w:cs="Hind107 Light"/>
          <w:color w:val="000000"/>
          <w:u w:val="single"/>
          <w:lang w:val="es-ES"/>
        </w:rPr>
        <w:t>Nota de prensa</w:t>
      </w:r>
    </w:p>
    <w:p w:rsidR="00D108AC" w:rsidRPr="00F6326F" w:rsidRDefault="00D108AC" w:rsidP="00D108AC">
      <w:pPr>
        <w:jc w:val="right"/>
        <w:rPr>
          <w:rFonts w:ascii="Hind107 Light" w:hAnsi="Hind107 Light" w:cs="Hind107 Light"/>
          <w:kern w:val="2"/>
          <w:sz w:val="22"/>
          <w:szCs w:val="22"/>
          <w:lang w:val="it-IT"/>
        </w:rPr>
      </w:pPr>
    </w:p>
    <w:p w:rsidR="00BD1046" w:rsidRPr="00113B1D" w:rsidRDefault="00BD1046" w:rsidP="00BD1046">
      <w:pPr>
        <w:jc w:val="center"/>
        <w:rPr>
          <w:rFonts w:ascii="Hind107 Bold" w:hAnsi="Hind107 Bold" w:cs="Hind107 Bold"/>
          <w:b/>
          <w:bCs/>
          <w:sz w:val="28"/>
          <w:szCs w:val="28"/>
          <w:lang w:val="es-ES"/>
        </w:rPr>
      </w:pPr>
      <w:r w:rsidRPr="00113B1D">
        <w:rPr>
          <w:rFonts w:ascii="Hind107 Bold" w:hAnsi="Hind107 Bold" w:cs="Hind107 Bold"/>
          <w:b/>
          <w:bCs/>
          <w:sz w:val="28"/>
          <w:szCs w:val="28"/>
          <w:lang w:val="es-ES"/>
        </w:rPr>
        <w:t>congatec extiende el ciclo de vida de los módulos ETX y XTX</w:t>
      </w:r>
    </w:p>
    <w:p w:rsidR="00BD1046" w:rsidRPr="00113B1D" w:rsidRDefault="00BD1046" w:rsidP="00BD1046">
      <w:pPr>
        <w:pStyle w:val="Standard1"/>
        <w:jc w:val="center"/>
        <w:rPr>
          <w:rFonts w:ascii="Hind Light" w:hAnsi="Hind Light" w:cs="Hind Light"/>
          <w:b/>
          <w:bCs/>
          <w:lang w:val="es-ES"/>
        </w:rPr>
      </w:pPr>
    </w:p>
    <w:p w:rsidR="00BD1046" w:rsidRPr="00113B1D" w:rsidRDefault="00BD1046" w:rsidP="00BD1046">
      <w:pPr>
        <w:pStyle w:val="Standard1"/>
        <w:jc w:val="center"/>
        <w:rPr>
          <w:rFonts w:ascii="Hind Light" w:hAnsi="Hind Light" w:cs="Hind Light"/>
          <w:b/>
          <w:bCs/>
          <w:lang w:val="es-ES"/>
        </w:rPr>
      </w:pPr>
      <w:r w:rsidRPr="00113B1D">
        <w:rPr>
          <w:rFonts w:ascii="Hind Light" w:hAnsi="Hind Light" w:cs="Hind Light"/>
          <w:b/>
          <w:bCs/>
          <w:lang w:val="es-ES"/>
        </w:rPr>
        <w:t xml:space="preserve"> los módulos congatec basados ​​en los procesadores AMD Geode LX 800</w:t>
      </w:r>
    </w:p>
    <w:p w:rsidR="00BD1046" w:rsidRPr="00113B1D" w:rsidRDefault="00BD1046" w:rsidP="00BD1046">
      <w:pPr>
        <w:pStyle w:val="Standard1"/>
        <w:jc w:val="center"/>
        <w:rPr>
          <w:rFonts w:ascii="Hind Light" w:hAnsi="Hind Light" w:cs="Hind Light"/>
          <w:b/>
          <w:bCs/>
          <w:lang w:val="es-ES"/>
        </w:rPr>
      </w:pPr>
      <w:r w:rsidRPr="00113B1D">
        <w:rPr>
          <w:rFonts w:ascii="Hind Light" w:hAnsi="Hind Light" w:cs="Hind Light"/>
          <w:b/>
          <w:bCs/>
          <w:lang w:val="es-ES"/>
        </w:rPr>
        <w:t>ya están disponibles al menos hasta 2019</w:t>
      </w:r>
    </w:p>
    <w:p w:rsidR="00BD1046" w:rsidRPr="00113B1D" w:rsidRDefault="00BD1046" w:rsidP="00BD1046">
      <w:pPr>
        <w:pStyle w:val="Standard1"/>
        <w:jc w:val="center"/>
        <w:rPr>
          <w:rFonts w:ascii="Hind Light" w:hAnsi="Hind Light" w:cs="Hind Light"/>
          <w:b/>
          <w:bCs/>
          <w:lang w:val="es-ES"/>
        </w:rPr>
      </w:pPr>
    </w:p>
    <w:p w:rsidR="00BD1046" w:rsidRPr="00113B1D" w:rsidRDefault="00BD1046" w:rsidP="00BD1046">
      <w:pPr>
        <w:jc w:val="center"/>
        <w:rPr>
          <w:rFonts w:ascii="Hind Light" w:hAnsi="Hind Light" w:cs="Hind Light"/>
          <w:b/>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Style w:val="Kommentarzeichen1"/>
          <w:rFonts w:ascii="Hind107 Light" w:hAnsi="Hind107 Light" w:cs="Hind107 Light"/>
          <w:b/>
          <w:sz w:val="22"/>
          <w:szCs w:val="22"/>
          <w:lang w:val="es-ES"/>
        </w:rPr>
        <w:t xml:space="preserve">Deggendorf, Alemania, 21 </w:t>
      </w:r>
      <w:r>
        <w:rPr>
          <w:rStyle w:val="Kommentarzeichen1"/>
          <w:rFonts w:ascii="Hind107 Light" w:hAnsi="Hind107 Light" w:cs="Hind107 Light"/>
          <w:b/>
          <w:sz w:val="22"/>
          <w:szCs w:val="22"/>
          <w:lang w:val="es-ES"/>
        </w:rPr>
        <w:t>de e</w:t>
      </w:r>
      <w:r w:rsidRPr="00113B1D">
        <w:rPr>
          <w:rStyle w:val="Kommentarzeichen1"/>
          <w:rFonts w:ascii="Hind107 Light" w:hAnsi="Hind107 Light" w:cs="Hind107 Light"/>
          <w:b/>
          <w:sz w:val="22"/>
          <w:szCs w:val="22"/>
          <w:lang w:val="es-ES"/>
        </w:rPr>
        <w:t>nero de 2016</w:t>
      </w:r>
      <w:r w:rsidRPr="00113B1D">
        <w:rPr>
          <w:rFonts w:ascii="Hind107 Light" w:hAnsi="Hind107 Light" w:cs="Hind107 Light"/>
          <w:b/>
          <w:sz w:val="22"/>
          <w:szCs w:val="22"/>
          <w:lang w:val="es-ES"/>
        </w:rPr>
        <w:t xml:space="preserve">   * * *  </w:t>
      </w:r>
      <w:r w:rsidRPr="00113B1D">
        <w:rPr>
          <w:rFonts w:ascii="Hind107 Light" w:hAnsi="Hind107 Light" w:cs="Hind107 Light"/>
          <w:sz w:val="22"/>
          <w:szCs w:val="22"/>
          <w:lang w:val="es-ES"/>
        </w:rPr>
        <w:t xml:space="preserve"> congatec AG, una empresa líder en tecnología para módulos </w:t>
      </w:r>
      <w:r w:rsidR="001E3E66">
        <w:rPr>
          <w:rFonts w:ascii="Hind107 Light" w:hAnsi="Hind107 Light" w:cs="Hind107 Light"/>
          <w:sz w:val="22"/>
          <w:szCs w:val="22"/>
          <w:lang w:val="es-ES"/>
        </w:rPr>
        <w:t>CPU</w:t>
      </w:r>
      <w:r w:rsidRPr="00113B1D">
        <w:rPr>
          <w:rFonts w:ascii="Hind107 Light" w:hAnsi="Hind107 Light" w:cs="Hind107 Light"/>
          <w:sz w:val="22"/>
          <w:szCs w:val="22"/>
          <w:lang w:val="es-ES"/>
        </w:rPr>
        <w:t xml:space="preserve"> embebidos, ordenadores </w:t>
      </w:r>
      <w:proofErr w:type="spellStart"/>
      <w:r w:rsidRPr="00113B1D">
        <w:rPr>
          <w:rFonts w:ascii="Hind107 Light" w:hAnsi="Hind107 Light" w:cs="Hind107 Light"/>
          <w:sz w:val="22"/>
          <w:szCs w:val="22"/>
          <w:lang w:val="es-ES"/>
        </w:rPr>
        <w:t>monoplaca</w:t>
      </w:r>
      <w:proofErr w:type="spellEnd"/>
      <w:r w:rsidRPr="00113B1D">
        <w:rPr>
          <w:rFonts w:ascii="Hind107 Light" w:hAnsi="Hind107 Light" w:cs="Hind107 Light"/>
          <w:sz w:val="22"/>
          <w:szCs w:val="22"/>
          <w:lang w:val="es-ES"/>
        </w:rPr>
        <w:t xml:space="preserve"> (SBC) y servicios de diseño embebido y fabricación (EDM), ha ampliado el ciclo de vida de sus módulos </w:t>
      </w:r>
      <w:r w:rsidR="001E3E66">
        <w:rPr>
          <w:rFonts w:ascii="Hind107 Light" w:hAnsi="Hind107 Light" w:cs="Hind107 Light"/>
          <w:sz w:val="22"/>
          <w:szCs w:val="22"/>
          <w:lang w:val="es-ES"/>
        </w:rPr>
        <w:t>embebidos</w:t>
      </w:r>
      <w:r w:rsidRPr="00113B1D">
        <w:rPr>
          <w:rFonts w:ascii="Hind107 Light" w:hAnsi="Hind107 Light" w:cs="Hind107 Light"/>
          <w:sz w:val="22"/>
          <w:szCs w:val="22"/>
          <w:lang w:val="es-ES"/>
        </w:rPr>
        <w:t xml:space="preserve"> ETX y XTX basados en el procesador AMD. Los módulos conga-ELXeco, conga-XLX y conga-ELX lanzados en 2005 y 2007 con los procesadores AMD Geode™ LX 800 de 500 MHz, ahora tendrán soporte</w:t>
      </w:r>
      <w:r w:rsidR="001E3E66">
        <w:rPr>
          <w:rFonts w:ascii="Hind107 Light" w:hAnsi="Hind107 Light" w:cs="Hind107 Light"/>
          <w:sz w:val="22"/>
          <w:szCs w:val="22"/>
          <w:lang w:val="es-ES"/>
        </w:rPr>
        <w:t>,</w:t>
      </w:r>
      <w:r w:rsidRPr="00113B1D">
        <w:rPr>
          <w:rFonts w:ascii="Hind107 Light" w:hAnsi="Hind107 Light" w:cs="Hind107 Light"/>
          <w:sz w:val="22"/>
          <w:szCs w:val="22"/>
          <w:lang w:val="es-ES"/>
        </w:rPr>
        <w:t xml:space="preserve"> por lo menos</w:t>
      </w:r>
      <w:r w:rsidR="001E3E66">
        <w:rPr>
          <w:rFonts w:ascii="Hind107 Light" w:hAnsi="Hind107 Light" w:cs="Hind107 Light"/>
          <w:sz w:val="22"/>
          <w:szCs w:val="22"/>
          <w:lang w:val="es-ES"/>
        </w:rPr>
        <w:t>,</w:t>
      </w:r>
      <w:r w:rsidRPr="00113B1D">
        <w:rPr>
          <w:rFonts w:ascii="Hind107 Light" w:hAnsi="Hind107 Light" w:cs="Hind107 Light"/>
          <w:sz w:val="22"/>
          <w:szCs w:val="22"/>
          <w:lang w:val="es-ES"/>
        </w:rPr>
        <w:t xml:space="preserve"> hasta finales de 2019</w:t>
      </w:r>
      <w:r w:rsidR="001E3E66">
        <w:rPr>
          <w:rFonts w:ascii="Hind107 Light" w:hAnsi="Hind107 Light" w:cs="Hind107 Light"/>
          <w:sz w:val="22"/>
          <w:szCs w:val="22"/>
          <w:lang w:val="es-ES"/>
        </w:rPr>
        <w:t>. A</w:t>
      </w:r>
      <w:r w:rsidRPr="00113B1D">
        <w:rPr>
          <w:rFonts w:ascii="Hind107 Light" w:hAnsi="Hind107 Light" w:cs="Hind107 Light"/>
          <w:sz w:val="22"/>
          <w:szCs w:val="22"/>
          <w:lang w:val="es-ES"/>
        </w:rPr>
        <w:t>mpliando la disponibilidad del módulo de los habituales 7 años</w:t>
      </w:r>
      <w:r w:rsidR="001E3E66">
        <w:rPr>
          <w:rFonts w:ascii="Hind107 Light" w:hAnsi="Hind107 Light" w:cs="Hind107 Light"/>
          <w:sz w:val="22"/>
          <w:szCs w:val="22"/>
          <w:lang w:val="es-ES"/>
        </w:rPr>
        <w:t>,</w:t>
      </w:r>
      <w:r w:rsidRPr="00113B1D">
        <w:rPr>
          <w:rFonts w:ascii="Hind107 Light" w:hAnsi="Hind107 Light" w:cs="Hind107 Light"/>
          <w:sz w:val="22"/>
          <w:szCs w:val="22"/>
          <w:lang w:val="es-ES"/>
        </w:rPr>
        <w:t xml:space="preserve"> hasta 12 - 14 años. Esto duplica la disponibilidad estándar de la tecnología integrada de procesador x86.</w:t>
      </w:r>
    </w:p>
    <w:p w:rsidR="00BD1046" w:rsidRPr="00113B1D" w:rsidRDefault="00BD1046" w:rsidP="00BD1046">
      <w:pPr>
        <w:spacing w:line="360" w:lineRule="auto"/>
        <w:rPr>
          <w:rFonts w:ascii="Hind107 Light" w:hAnsi="Hind107 Light" w:cs="Hind107 Light"/>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Fonts w:ascii="Hind107 Light" w:hAnsi="Hind107 Light" w:cs="Hind107 Light"/>
          <w:sz w:val="22"/>
          <w:szCs w:val="22"/>
          <w:lang w:val="es-ES"/>
        </w:rPr>
        <w:t xml:space="preserve">Con al menos 4 años adicionales de disponibilidad del módulo, los </w:t>
      </w:r>
      <w:r w:rsidR="001E3E66">
        <w:rPr>
          <w:rFonts w:ascii="Hind107 Light" w:hAnsi="Hind107 Light" w:cs="Hind107 Light"/>
          <w:sz w:val="22"/>
          <w:szCs w:val="22"/>
          <w:lang w:val="es-ES"/>
        </w:rPr>
        <w:t xml:space="preserve">integradores </w:t>
      </w:r>
      <w:r w:rsidRPr="00113B1D">
        <w:rPr>
          <w:rFonts w:ascii="Hind107 Light" w:hAnsi="Hind107 Light" w:cs="Hind107 Light"/>
          <w:sz w:val="22"/>
          <w:szCs w:val="22"/>
          <w:lang w:val="es-ES"/>
        </w:rPr>
        <w:t xml:space="preserve">OEM se benefician de una mayor rentabilidad de la inversión en sus diseños individuales basados en bus PCI e ISA, que fueron desarrollados y lanzados al mercado hace unos 10 años. Los diseños </w:t>
      </w:r>
      <w:r w:rsidR="001E3E66">
        <w:rPr>
          <w:rFonts w:ascii="Hind107 Light" w:hAnsi="Hind107 Light" w:cs="Hind107 Light"/>
          <w:sz w:val="22"/>
          <w:szCs w:val="22"/>
          <w:lang w:val="es-ES"/>
        </w:rPr>
        <w:t>para sustituir mó</w:t>
      </w:r>
      <w:r w:rsidRPr="00113B1D">
        <w:rPr>
          <w:rFonts w:ascii="Hind107 Light" w:hAnsi="Hind107 Light" w:cs="Hind107 Light"/>
          <w:sz w:val="22"/>
          <w:szCs w:val="22"/>
          <w:lang w:val="es-ES"/>
        </w:rPr>
        <w:t xml:space="preserve">dulos </w:t>
      </w:r>
      <w:r w:rsidR="001E3E66">
        <w:rPr>
          <w:rFonts w:ascii="Hind107 Light" w:hAnsi="Hind107 Light" w:cs="Hind107 Light"/>
          <w:sz w:val="22"/>
          <w:szCs w:val="22"/>
          <w:lang w:val="es-ES"/>
        </w:rPr>
        <w:t>ya obsoletos, ta</w:t>
      </w:r>
      <w:r w:rsidRPr="00113B1D">
        <w:rPr>
          <w:rFonts w:ascii="Hind107 Light" w:hAnsi="Hind107 Light" w:cs="Hind107 Light"/>
          <w:sz w:val="22"/>
          <w:szCs w:val="22"/>
          <w:lang w:val="es-ES"/>
        </w:rPr>
        <w:t xml:space="preserve">mbién son posibles, ya que la especificación ETX está estandarizada y permite el uso de módulos procesadores de otros fabricantes. En casos como estos, congatec ofrece soporte de integración personal para simplificar el diseño en la medida de lo posible, </w:t>
      </w:r>
      <w:r w:rsidR="00E258FB">
        <w:rPr>
          <w:rFonts w:ascii="Hind107 Light" w:hAnsi="Hind107 Light" w:cs="Hind107 Light"/>
          <w:sz w:val="22"/>
          <w:szCs w:val="22"/>
          <w:lang w:val="es-ES"/>
        </w:rPr>
        <w:t xml:space="preserve">para los diseñadores de equipos </w:t>
      </w:r>
      <w:r w:rsidRPr="00113B1D">
        <w:rPr>
          <w:rFonts w:ascii="Hind107 Light" w:hAnsi="Hind107 Light" w:cs="Hind107 Light"/>
          <w:sz w:val="22"/>
          <w:szCs w:val="22"/>
          <w:lang w:val="es-ES"/>
        </w:rPr>
        <w:t>(</w:t>
      </w:r>
      <w:proofErr w:type="spellStart"/>
      <w:r w:rsidRPr="00113B1D">
        <w:rPr>
          <w:rFonts w:ascii="Hind107 Light" w:hAnsi="Hind107 Light" w:cs="Hind107 Light"/>
          <w:sz w:val="22"/>
          <w:szCs w:val="22"/>
          <w:lang w:val="es-ES"/>
        </w:rPr>
        <w:t>OEMs</w:t>
      </w:r>
      <w:proofErr w:type="spellEnd"/>
      <w:r w:rsidRPr="00113B1D">
        <w:rPr>
          <w:rFonts w:ascii="Hind107 Light" w:hAnsi="Hind107 Light" w:cs="Hind107 Light"/>
          <w:sz w:val="22"/>
          <w:szCs w:val="22"/>
          <w:lang w:val="es-ES"/>
        </w:rPr>
        <w:t>). Los típicos diseños</w:t>
      </w:r>
      <w:r w:rsidR="00E258FB">
        <w:rPr>
          <w:rFonts w:ascii="Hind107 Light" w:hAnsi="Hind107 Light" w:cs="Hind107 Light"/>
          <w:sz w:val="22"/>
          <w:szCs w:val="22"/>
          <w:lang w:val="es-ES"/>
        </w:rPr>
        <w:t xml:space="preserve"> con ETX se encuentran, </w:t>
      </w:r>
      <w:r w:rsidRPr="00113B1D">
        <w:rPr>
          <w:rFonts w:ascii="Hind107 Light" w:hAnsi="Hind107 Light" w:cs="Hind107 Light"/>
          <w:sz w:val="22"/>
          <w:szCs w:val="22"/>
          <w:lang w:val="es-ES"/>
        </w:rPr>
        <w:t>principalmente</w:t>
      </w:r>
      <w:r w:rsidR="00E258FB">
        <w:rPr>
          <w:rFonts w:ascii="Hind107 Light" w:hAnsi="Hind107 Light" w:cs="Hind107 Light"/>
          <w:sz w:val="22"/>
          <w:szCs w:val="22"/>
          <w:lang w:val="es-ES"/>
        </w:rPr>
        <w:t>,</w:t>
      </w:r>
      <w:r w:rsidRPr="00113B1D">
        <w:rPr>
          <w:rFonts w:ascii="Hind107 Light" w:hAnsi="Hind107 Light" w:cs="Hind107 Light"/>
          <w:sz w:val="22"/>
          <w:szCs w:val="22"/>
          <w:lang w:val="es-ES"/>
        </w:rPr>
        <w:t xml:space="preserve"> en aplicaciones de control industrial, así como </w:t>
      </w:r>
      <w:r w:rsidR="00E258FB">
        <w:rPr>
          <w:rFonts w:ascii="Hind107 Light" w:hAnsi="Hind107 Light" w:cs="Hind107 Light"/>
          <w:sz w:val="22"/>
          <w:szCs w:val="22"/>
          <w:lang w:val="es-ES"/>
        </w:rPr>
        <w:t xml:space="preserve">en </w:t>
      </w:r>
      <w:r w:rsidRPr="00113B1D">
        <w:rPr>
          <w:rFonts w:ascii="Hind107 Light" w:hAnsi="Hind107 Light" w:cs="Hind107 Light"/>
          <w:sz w:val="22"/>
          <w:szCs w:val="22"/>
          <w:lang w:val="es-ES"/>
        </w:rPr>
        <w:t xml:space="preserve">pequeños clientes y HMI que utilizan puertos serie y </w:t>
      </w:r>
      <w:r w:rsidRPr="00113B1D">
        <w:rPr>
          <w:rFonts w:ascii="Hind107 Light" w:hAnsi="Hind107 Light" w:cs="Hind107 Light"/>
          <w:sz w:val="22"/>
          <w:szCs w:val="22"/>
          <w:lang w:val="es-ES"/>
        </w:rPr>
        <w:lastRenderedPageBreak/>
        <w:t>/ o buses de campo</w:t>
      </w:r>
      <w:r w:rsidR="00E258FB">
        <w:rPr>
          <w:rFonts w:ascii="Hind107 Light" w:hAnsi="Hind107 Light" w:cs="Hind107 Light"/>
          <w:sz w:val="22"/>
          <w:szCs w:val="22"/>
          <w:lang w:val="es-ES"/>
        </w:rPr>
        <w:t>,</w:t>
      </w:r>
      <w:r w:rsidRPr="00113B1D">
        <w:rPr>
          <w:rFonts w:ascii="Hind107 Light" w:hAnsi="Hind107 Light" w:cs="Hind107 Light"/>
          <w:sz w:val="22"/>
          <w:szCs w:val="22"/>
          <w:lang w:val="es-ES"/>
        </w:rPr>
        <w:t xml:space="preserve"> que a menudo estaban conectados a través de interfaces heredadas como el bus ISA.</w:t>
      </w:r>
    </w:p>
    <w:p w:rsidR="00BD1046" w:rsidRPr="00113B1D" w:rsidRDefault="00BD1046" w:rsidP="00BD1046">
      <w:pPr>
        <w:spacing w:line="360" w:lineRule="auto"/>
        <w:rPr>
          <w:rFonts w:ascii="Hind107 Light" w:hAnsi="Hind107 Light" w:cs="Hind107 Light"/>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Fonts w:ascii="Hind107 Light" w:hAnsi="Hind107 Light" w:cs="Hind107 Light"/>
          <w:sz w:val="22"/>
          <w:szCs w:val="22"/>
          <w:lang w:val="es-ES"/>
        </w:rPr>
        <w:t>"Los OEMs quieren utilizar sus diseños el mayor tiempo posible. Sin embargo, la interrupción en el suministro de los componentes y los procesadores les obliga a rediseñar más a menudo de lo que les gustaría. Queremos romper este ciclo. Y la excepcionalmente larga disponibilidad de nuestros módulos ETX y XTX basados en el procesador AMD Geode LX 800 es un hito importante en este proceso", dice Martin Danzer, director de gestión de productos en congatec AG. "Esto también es un testimonio de una política de producto exitosa, tanto en AMD como en congatec, así como para nuestros clientes, que, por ejemplo, han desarrollado sistemas de control de gran éxito con los procesadores x86, de 0,9 vatios de ahorro de energía, de grado industrial."</w:t>
      </w:r>
    </w:p>
    <w:p w:rsidR="00BD1046" w:rsidRPr="00113B1D" w:rsidRDefault="00BD1046" w:rsidP="00BD1046">
      <w:pPr>
        <w:spacing w:line="360" w:lineRule="auto"/>
        <w:rPr>
          <w:rFonts w:ascii="Hind107 Light" w:hAnsi="Hind107 Light" w:cs="Hind107 Light"/>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Fonts w:ascii="Hind107 Light" w:hAnsi="Hind107 Light" w:cs="Hind107 Light"/>
          <w:sz w:val="22"/>
          <w:szCs w:val="22"/>
          <w:lang w:val="es-ES"/>
        </w:rPr>
        <w:t>"Cuando AMD lanzó el procesador AMD Geode LX 800 en 2005, fue diseñado para ser el procesador de mayor rendimiento por vatio ofrecido en ese momento para aplicaciones de 32 bits basados ​​en x86. Además, muchas aplicaciones se</w:t>
      </w:r>
      <w:r w:rsidR="00E258FB">
        <w:rPr>
          <w:rFonts w:ascii="Hind107 Light" w:hAnsi="Hind107 Light" w:cs="Hind107 Light"/>
          <w:sz w:val="22"/>
          <w:szCs w:val="22"/>
          <w:lang w:val="es-ES"/>
        </w:rPr>
        <w:t xml:space="preserve"> convirtieron, </w:t>
      </w:r>
      <w:r w:rsidRPr="00113B1D">
        <w:rPr>
          <w:rFonts w:ascii="Hind107 Light" w:hAnsi="Hind107 Light" w:cs="Hind107 Light"/>
          <w:sz w:val="22"/>
          <w:szCs w:val="22"/>
          <w:lang w:val="es-ES"/>
        </w:rPr>
        <w:t>más tarde</w:t>
      </w:r>
      <w:r w:rsidR="00E258FB">
        <w:rPr>
          <w:rFonts w:ascii="Hind107 Light" w:hAnsi="Hind107 Light" w:cs="Hind107 Light"/>
          <w:sz w:val="22"/>
          <w:szCs w:val="22"/>
          <w:lang w:val="es-ES"/>
        </w:rPr>
        <w:t>, en</w:t>
      </w:r>
      <w:r w:rsidRPr="00113B1D">
        <w:rPr>
          <w:rFonts w:ascii="Hind107 Light" w:hAnsi="Hind107 Light" w:cs="Hind107 Light"/>
          <w:sz w:val="22"/>
          <w:szCs w:val="22"/>
          <w:lang w:val="es-ES"/>
        </w:rPr>
        <w:t xml:space="preserve"> diseños sin plomo. Todo esto llevó a un impresionante número de éxitos de diseño, contribuyendo al éxito y a la disponibilidad a largo plazo de esta plataforma", dijo Colin Cureton director de gestión de producto y marketing en AMD Enterprise Solutions.</w:t>
      </w:r>
    </w:p>
    <w:p w:rsidR="00BD1046" w:rsidRPr="00113B1D" w:rsidRDefault="00BD1046" w:rsidP="00BD1046">
      <w:pPr>
        <w:spacing w:line="360" w:lineRule="auto"/>
        <w:rPr>
          <w:rFonts w:ascii="Hind107 Light" w:hAnsi="Hind107 Light" w:cs="Hind107 Light"/>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Fonts w:ascii="Hind107 Light" w:hAnsi="Hind107 Light" w:cs="Hind107 Light"/>
          <w:sz w:val="22"/>
          <w:szCs w:val="22"/>
          <w:lang w:val="es-ES"/>
        </w:rPr>
        <w:t xml:space="preserve">El soporte a largo plazo hasta 2019 para los módulos XTX y ETX basados en el procesador AMD </w:t>
      </w:r>
      <w:bookmarkStart w:id="0" w:name="_GoBack"/>
      <w:bookmarkEnd w:id="0"/>
      <w:r w:rsidRPr="00113B1D">
        <w:rPr>
          <w:rFonts w:ascii="Hind107 Light" w:hAnsi="Hind107 Light" w:cs="Hind107 Light"/>
          <w:sz w:val="22"/>
          <w:szCs w:val="22"/>
          <w:lang w:val="es-ES"/>
        </w:rPr>
        <w:t xml:space="preserve">Geode LX 800, posiblemente ha batido records en la historia de los procesadores x86 </w:t>
      </w:r>
      <w:r w:rsidR="00E258FB">
        <w:rPr>
          <w:rFonts w:ascii="Hind107 Light" w:hAnsi="Hind107 Light" w:cs="Hind107 Light"/>
          <w:sz w:val="22"/>
          <w:szCs w:val="22"/>
          <w:lang w:val="es-ES"/>
        </w:rPr>
        <w:t>en</w:t>
      </w:r>
      <w:r w:rsidRPr="00113B1D">
        <w:rPr>
          <w:rFonts w:ascii="Hind107 Light" w:hAnsi="Hind107 Light" w:cs="Hind107 Light"/>
          <w:sz w:val="22"/>
          <w:szCs w:val="22"/>
          <w:lang w:val="es-ES"/>
        </w:rPr>
        <w:t xml:space="preserve"> módulos COM </w:t>
      </w:r>
      <w:r w:rsidR="00E258FB">
        <w:rPr>
          <w:rFonts w:ascii="Hind107 Light" w:hAnsi="Hind107 Light" w:cs="Hind107 Light"/>
          <w:sz w:val="22"/>
          <w:szCs w:val="22"/>
          <w:lang w:val="es-ES"/>
        </w:rPr>
        <w:t>estándar</w:t>
      </w:r>
      <w:r w:rsidRPr="00113B1D">
        <w:rPr>
          <w:rFonts w:ascii="Hind107 Light" w:hAnsi="Hind107 Light" w:cs="Hind107 Light"/>
          <w:sz w:val="22"/>
          <w:szCs w:val="22"/>
          <w:lang w:val="es-ES"/>
        </w:rPr>
        <w:t xml:space="preserve">. Y los módulos son competitivos todavía hoy. Cada año, congatec continúa vendiendo más de 20.000 módulos </w:t>
      </w:r>
      <w:r w:rsidR="00E258FB">
        <w:rPr>
          <w:rFonts w:ascii="Hind107 Light" w:hAnsi="Hind107 Light" w:cs="Hind107 Light"/>
          <w:sz w:val="22"/>
          <w:szCs w:val="22"/>
          <w:lang w:val="es-ES"/>
        </w:rPr>
        <w:t>CPU</w:t>
      </w:r>
      <w:r w:rsidRPr="00113B1D">
        <w:rPr>
          <w:rFonts w:ascii="Hind107 Light" w:hAnsi="Hind107 Light" w:cs="Hind107 Light"/>
          <w:sz w:val="22"/>
          <w:szCs w:val="22"/>
          <w:lang w:val="es-ES"/>
        </w:rPr>
        <w:t xml:space="preserve"> con procesadores AMD Geode LX 800 para el mercado </w:t>
      </w:r>
      <w:r w:rsidR="00E258FB">
        <w:rPr>
          <w:rFonts w:ascii="Hind107 Light" w:hAnsi="Hind107 Light" w:cs="Hind107 Light"/>
          <w:sz w:val="22"/>
          <w:szCs w:val="22"/>
          <w:lang w:val="es-ES"/>
        </w:rPr>
        <w:t>embebido</w:t>
      </w:r>
      <w:r w:rsidRPr="00113B1D">
        <w:rPr>
          <w:rFonts w:ascii="Hind107 Light" w:hAnsi="Hind107 Light" w:cs="Hind107 Light"/>
          <w:sz w:val="22"/>
          <w:szCs w:val="22"/>
          <w:lang w:val="es-ES"/>
        </w:rPr>
        <w:t>.</w:t>
      </w:r>
    </w:p>
    <w:p w:rsidR="00BD1046" w:rsidRPr="00113B1D" w:rsidRDefault="00BD1046" w:rsidP="00BD1046">
      <w:pPr>
        <w:spacing w:line="360" w:lineRule="auto"/>
        <w:rPr>
          <w:rFonts w:ascii="Hind107 Light" w:hAnsi="Hind107 Light" w:cs="Hind107 Light"/>
          <w:sz w:val="22"/>
          <w:szCs w:val="22"/>
          <w:lang w:val="es-ES"/>
        </w:rPr>
      </w:pPr>
    </w:p>
    <w:p w:rsidR="00BD1046" w:rsidRPr="00113B1D" w:rsidRDefault="00BD1046" w:rsidP="00BD1046">
      <w:pPr>
        <w:spacing w:line="360" w:lineRule="auto"/>
        <w:rPr>
          <w:rFonts w:ascii="Hind107 Light" w:hAnsi="Hind107 Light" w:cs="Hind107 Light"/>
          <w:sz w:val="22"/>
          <w:szCs w:val="22"/>
          <w:lang w:val="es-ES"/>
        </w:rPr>
      </w:pPr>
      <w:r w:rsidRPr="00113B1D">
        <w:rPr>
          <w:rFonts w:ascii="Hind107 Light" w:hAnsi="Hind107 Light" w:cs="Hind107 Light"/>
          <w:sz w:val="22"/>
          <w:szCs w:val="22"/>
          <w:lang w:val="es-ES"/>
        </w:rPr>
        <w:t xml:space="preserve">Para obtener más información sobre los módulos informáticos ETX basados en procesadores AMD Geode LX 800 de congatec ver: </w:t>
      </w:r>
      <w:hyperlink r:id="rId11" w:history="1">
        <w:r w:rsidRPr="00113B1D">
          <w:rPr>
            <w:rStyle w:val="Hipervnculo"/>
            <w:rFonts w:ascii="Hind107 Light" w:hAnsi="Hind107 Light" w:cs="Hind107 Light"/>
            <w:sz w:val="22"/>
            <w:szCs w:val="22"/>
            <w:lang w:val="es-ES"/>
          </w:rPr>
          <w:t>http://www.congatec.com/en/products/etx.html</w:t>
        </w:r>
      </w:hyperlink>
    </w:p>
    <w:p w:rsidR="00BD1046" w:rsidRPr="00BD1046" w:rsidRDefault="00BD1046" w:rsidP="00B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Hind107 Light" w:hAnsi="Hind107 Light" w:cs="Hind107 Light"/>
          <w:sz w:val="22"/>
          <w:szCs w:val="22"/>
          <w:lang w:val="es-ES"/>
        </w:rPr>
      </w:pPr>
      <w:r w:rsidRPr="00113B1D">
        <w:rPr>
          <w:rFonts w:ascii="Hind107 Light" w:hAnsi="Hind107 Light" w:cs="Hind107 Light"/>
          <w:sz w:val="22"/>
          <w:szCs w:val="22"/>
          <w:lang w:val="es-ES"/>
        </w:rPr>
        <w:t xml:space="preserve">Y para los módulos informáticos XTX basados en procesadores AMD Geode LX 800 de congatec ver: </w:t>
      </w:r>
      <w:hyperlink r:id="rId12" w:history="1">
        <w:r w:rsidRPr="00BD1046">
          <w:rPr>
            <w:rStyle w:val="Hipervnculo"/>
            <w:rFonts w:ascii="Hind107 Light" w:hAnsi="Hind107 Light" w:cs="Hind107 Light"/>
            <w:sz w:val="22"/>
            <w:szCs w:val="22"/>
            <w:lang w:val="es-ES"/>
          </w:rPr>
          <w:t>http://www.congatec.com/de/produkte/xtx.html</w:t>
        </w:r>
      </w:hyperlink>
      <w:r w:rsidRPr="00BD1046">
        <w:rPr>
          <w:rFonts w:ascii="Hind107 Light" w:hAnsi="Hind107 Light" w:cs="Hind107 Light"/>
          <w:sz w:val="22"/>
          <w:szCs w:val="22"/>
          <w:lang w:val="es-ES"/>
        </w:rPr>
        <w:t xml:space="preserve"> </w:t>
      </w:r>
    </w:p>
    <w:p w:rsidR="00D108AC" w:rsidRPr="001E2899" w:rsidRDefault="00D108AC" w:rsidP="00D108AC">
      <w:pPr>
        <w:pStyle w:val="Standard1"/>
        <w:ind w:right="283"/>
        <w:rPr>
          <w:rFonts w:ascii="Hind107 Light" w:hAnsi="Hind107 Light" w:cs="Hind107 Light"/>
          <w:b/>
          <w:sz w:val="18"/>
          <w:szCs w:val="18"/>
          <w:lang w:val="es-ES"/>
        </w:rPr>
      </w:pPr>
    </w:p>
    <w:p w:rsidR="001E2899" w:rsidRPr="0035152D" w:rsidRDefault="001E2899" w:rsidP="001E2899">
      <w:pPr>
        <w:pStyle w:val="NormalWeb"/>
        <w:rPr>
          <w:rFonts w:ascii="Hind107 Light" w:hAnsi="Hind107 Light" w:cs="Hind107 Light"/>
          <w:sz w:val="18"/>
          <w:szCs w:val="18"/>
        </w:rPr>
      </w:pPr>
      <w:r w:rsidRPr="0035152D">
        <w:rPr>
          <w:rFonts w:ascii="Hind107 Light" w:hAnsi="Hind107 Light" w:cs="Hind107 Light"/>
          <w:b/>
          <w:bCs/>
          <w:sz w:val="18"/>
          <w:szCs w:val="18"/>
          <w:lang w:val="es-ES"/>
        </w:rPr>
        <w:t>Acerca de congatec AG</w:t>
      </w:r>
      <w:r w:rsidRPr="0035152D">
        <w:rPr>
          <w:rFonts w:ascii="Hind107 Light" w:hAnsi="Hind107 Light" w:cs="Hind107 Light"/>
          <w:b/>
          <w:bCs/>
          <w:sz w:val="18"/>
          <w:szCs w:val="18"/>
          <w:lang w:val="es-ES"/>
        </w:rPr>
        <w:br/>
      </w:r>
      <w:r w:rsidRPr="0035152D">
        <w:rPr>
          <w:rFonts w:ascii="Hind107 Light" w:hAnsi="Hind107 Light" w:cs="Hind107 Light"/>
          <w:sz w:val="18"/>
          <w:szCs w:val="18"/>
          <w:lang w:val="es-ES"/>
        </w:rPr>
        <w:t xml:space="preserve">congatec AG, con sede central en Deggendorf (Alemania), es un proveedor líder de módulos informáticos industriales basados en los factores de forma estándar Qseven, COM Express, XTX y ETX, así como de ordenadores de placa única y servicios EDM. Los productos de esta empresa ofrecen múltiples aplicaciones y se utilizan, por ejemplo, en las áreas de automatización industrial, tecnología médica, suministros para el sector del automóvil, aeronáutica y transporte. </w:t>
      </w:r>
      <w:r w:rsidRPr="001E3E66">
        <w:rPr>
          <w:rFonts w:ascii="Hind107 Light" w:hAnsi="Hind107 Light" w:cs="Hind107 Light"/>
          <w:sz w:val="18"/>
          <w:szCs w:val="18"/>
          <w:lang w:val="es-ES"/>
        </w:rPr>
        <w:t xml:space="preserve">Los conocimientos básicos y técnicos incluyen funcionalidades BIOS extendidas de características únicas, junto con amplios paquetes de soporte de placa y controladores. </w:t>
      </w:r>
      <w:r w:rsidRPr="0035152D">
        <w:rPr>
          <w:rFonts w:ascii="Hind107 Light" w:hAnsi="Hind107 Light" w:cs="Hind107 Light"/>
          <w:sz w:val="18"/>
          <w:szCs w:val="18"/>
          <w:lang w:val="it-IT"/>
        </w:rPr>
        <w:t xml:space="preserve">A partir de la fase de diseño, los clientes reciben un apoyo adecuado a través de una gestión integral del ciclo de vida del producto. </w:t>
      </w:r>
      <w:r w:rsidRPr="0035152D">
        <w:rPr>
          <w:rFonts w:ascii="Hind107 Light" w:hAnsi="Hind107 Light" w:cs="Hind107 Light"/>
          <w:sz w:val="18"/>
          <w:szCs w:val="18"/>
          <w:lang w:val="sv-SE"/>
        </w:rPr>
        <w:t xml:space="preserve">Los productos son fabricados por proveedores especializados de acuerdo con las más modernas normas de calidad. En la actualidad congatec cuenta con 177 empleados y con establecimientos situados en Taiwán, Japón, China, Estados Unidos, Australia y la República Checa. </w:t>
      </w:r>
      <w:r w:rsidRPr="0035152D">
        <w:rPr>
          <w:rFonts w:ascii="Hind107 Light" w:hAnsi="Hind107 Light" w:cs="Hind107 Light"/>
          <w:sz w:val="18"/>
          <w:szCs w:val="18"/>
        </w:rPr>
        <w:t xml:space="preserve">Para obtener más información, consulte en </w:t>
      </w:r>
      <w:hyperlink r:id="rId13" w:history="1">
        <w:r w:rsidRPr="0035152D">
          <w:rPr>
            <w:rStyle w:val="Hipervnculo"/>
            <w:rFonts w:ascii="Hind107 Light" w:eastAsiaTheme="majorEastAsia" w:hAnsi="Hind107 Light" w:cs="Hind107 Light"/>
            <w:sz w:val="18"/>
            <w:szCs w:val="18"/>
          </w:rPr>
          <w:t>www.congatec.com</w:t>
        </w:r>
      </w:hyperlink>
      <w:r w:rsidRPr="0035152D">
        <w:rPr>
          <w:rFonts w:ascii="Hind107 Light" w:hAnsi="Hind107 Light" w:cs="Hind107 Light"/>
          <w:sz w:val="18"/>
          <w:szCs w:val="18"/>
        </w:rPr>
        <w:t xml:space="preserve"> o a través de </w:t>
      </w:r>
      <w:hyperlink r:id="rId14" w:history="1">
        <w:r w:rsidRPr="0035152D">
          <w:rPr>
            <w:rStyle w:val="Hipervnculo"/>
            <w:rFonts w:ascii="Hind107 Light" w:eastAsiaTheme="majorEastAsia" w:hAnsi="Hind107 Light" w:cs="Hind107 Light"/>
            <w:color w:val="800080"/>
            <w:sz w:val="18"/>
            <w:szCs w:val="18"/>
          </w:rPr>
          <w:t>Facebook</w:t>
        </w:r>
      </w:hyperlink>
      <w:r w:rsidRPr="0035152D">
        <w:rPr>
          <w:rFonts w:ascii="Hind107 Light" w:hAnsi="Hind107 Light" w:cs="Hind107 Light"/>
          <w:sz w:val="18"/>
          <w:szCs w:val="18"/>
        </w:rPr>
        <w:t xml:space="preserve">, </w:t>
      </w:r>
      <w:hyperlink r:id="rId15" w:history="1">
        <w:r w:rsidRPr="0035152D">
          <w:rPr>
            <w:rStyle w:val="Hipervnculo"/>
            <w:rFonts w:ascii="Hind107 Light" w:eastAsiaTheme="majorEastAsia" w:hAnsi="Hind107 Light" w:cs="Hind107 Light"/>
            <w:color w:val="800080"/>
            <w:sz w:val="18"/>
            <w:szCs w:val="18"/>
          </w:rPr>
          <w:t>Twitter</w:t>
        </w:r>
      </w:hyperlink>
      <w:r w:rsidRPr="0035152D">
        <w:rPr>
          <w:rFonts w:ascii="Hind107 Light" w:hAnsi="Hind107 Light" w:cs="Hind107 Light"/>
          <w:sz w:val="18"/>
          <w:szCs w:val="18"/>
        </w:rPr>
        <w:t xml:space="preserve"> y </w:t>
      </w:r>
      <w:hyperlink r:id="rId16" w:history="1">
        <w:r w:rsidRPr="0035152D">
          <w:rPr>
            <w:rStyle w:val="Hipervnculo"/>
            <w:rFonts w:ascii="Hind107 Light" w:eastAsiaTheme="majorEastAsia" w:hAnsi="Hind107 Light" w:cs="Hind107 Light"/>
            <w:sz w:val="18"/>
            <w:szCs w:val="18"/>
          </w:rPr>
          <w:t>YouTube</w:t>
        </w:r>
      </w:hyperlink>
      <w:r w:rsidRPr="0035152D">
        <w:rPr>
          <w:rFonts w:ascii="Hind107 Light" w:hAnsi="Hind107 Light" w:cs="Hind107 Light"/>
          <w:sz w:val="18"/>
          <w:szCs w:val="18"/>
        </w:rPr>
        <w:t>.</w:t>
      </w:r>
    </w:p>
    <w:p w:rsidR="003910AD" w:rsidRPr="001E3E66" w:rsidRDefault="003910AD" w:rsidP="003910AD">
      <w:pPr>
        <w:pStyle w:val="Standard1"/>
        <w:spacing w:before="120"/>
        <w:rPr>
          <w:rFonts w:ascii="Hind107 Light" w:hAnsi="Hind107 Light" w:cs="Hind107 Light"/>
          <w:sz w:val="18"/>
          <w:szCs w:val="18"/>
          <w:lang w:val="es-ES"/>
        </w:rPr>
      </w:pP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r w:rsidRPr="00F6326F">
        <w:rPr>
          <w:rFonts w:ascii="Hind107 Light" w:hAnsi="Hind107 Light" w:cs="Hind107 Light"/>
          <w:sz w:val="18"/>
          <w:szCs w:val="18"/>
          <w:lang w:val="en-US"/>
        </w:rPr>
        <w:t>* * *</w:t>
      </w:r>
      <w:r w:rsidRPr="00F6326F">
        <w:rPr>
          <w:rFonts w:ascii="Hind107 Light" w:hAnsi="Hind107 Light" w:cs="Hind107 Light"/>
          <w:i/>
          <w:iCs/>
          <w:sz w:val="18"/>
          <w:szCs w:val="18"/>
          <w:lang w:val="en-US"/>
        </w:rPr>
        <w:t xml:space="preserve"> </w:t>
      </w:r>
    </w:p>
    <w:p w:rsidR="003910AD" w:rsidRPr="00F6326F" w:rsidRDefault="003910AD" w:rsidP="003910AD">
      <w:pPr>
        <w:pStyle w:val="Standard1"/>
        <w:spacing w:line="200" w:lineRule="atLeast"/>
        <w:jc w:val="center"/>
        <w:rPr>
          <w:rFonts w:ascii="Hind107 Light" w:hAnsi="Hind107 Light" w:cs="Hind107 Light"/>
          <w:i/>
          <w:iCs/>
          <w:sz w:val="18"/>
          <w:szCs w:val="18"/>
          <w:lang w:val="en-US"/>
        </w:rPr>
      </w:pPr>
    </w:p>
    <w:p w:rsidR="00D108AC" w:rsidRPr="00F6326F" w:rsidRDefault="00D108AC" w:rsidP="003910AD">
      <w:pPr>
        <w:pStyle w:val="Standard1"/>
        <w:ind w:right="283"/>
        <w:rPr>
          <w:rFonts w:ascii="Hind107 Light" w:hAnsi="Hind107 Light" w:cs="Hind107 Light"/>
          <w:i/>
          <w:iCs/>
          <w:kern w:val="2"/>
          <w:sz w:val="18"/>
          <w:szCs w:val="18"/>
          <w:lang w:val="en-US"/>
        </w:rPr>
      </w:pPr>
    </w:p>
    <w:sectPr w:rsidR="00D108AC" w:rsidRPr="00F6326F"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C"/>
    <w:rsid w:val="000869F6"/>
    <w:rsid w:val="000E736A"/>
    <w:rsid w:val="0010462C"/>
    <w:rsid w:val="00157343"/>
    <w:rsid w:val="001E2899"/>
    <w:rsid w:val="001E3E66"/>
    <w:rsid w:val="002018D7"/>
    <w:rsid w:val="00212286"/>
    <w:rsid w:val="002172C9"/>
    <w:rsid w:val="00256643"/>
    <w:rsid w:val="002D625D"/>
    <w:rsid w:val="002F6BB9"/>
    <w:rsid w:val="0033437F"/>
    <w:rsid w:val="00341F3D"/>
    <w:rsid w:val="0035152D"/>
    <w:rsid w:val="003710B5"/>
    <w:rsid w:val="003910AD"/>
    <w:rsid w:val="003C5916"/>
    <w:rsid w:val="004D2177"/>
    <w:rsid w:val="005C6F13"/>
    <w:rsid w:val="005E693A"/>
    <w:rsid w:val="0063522F"/>
    <w:rsid w:val="00692E3F"/>
    <w:rsid w:val="0069359A"/>
    <w:rsid w:val="006C545F"/>
    <w:rsid w:val="006E5682"/>
    <w:rsid w:val="00700E83"/>
    <w:rsid w:val="00735068"/>
    <w:rsid w:val="007F032A"/>
    <w:rsid w:val="007F10E7"/>
    <w:rsid w:val="00881B43"/>
    <w:rsid w:val="008D011F"/>
    <w:rsid w:val="00915B34"/>
    <w:rsid w:val="0092236E"/>
    <w:rsid w:val="0098707E"/>
    <w:rsid w:val="009977CF"/>
    <w:rsid w:val="009C65B6"/>
    <w:rsid w:val="009C67E6"/>
    <w:rsid w:val="00A12279"/>
    <w:rsid w:val="00A31EE8"/>
    <w:rsid w:val="00B033CF"/>
    <w:rsid w:val="00B37B7A"/>
    <w:rsid w:val="00B86632"/>
    <w:rsid w:val="00BB0080"/>
    <w:rsid w:val="00BD1046"/>
    <w:rsid w:val="00BD1DEC"/>
    <w:rsid w:val="00C5246E"/>
    <w:rsid w:val="00CB44AE"/>
    <w:rsid w:val="00CC743E"/>
    <w:rsid w:val="00D06B9E"/>
    <w:rsid w:val="00D108AC"/>
    <w:rsid w:val="00DC0E48"/>
    <w:rsid w:val="00E258FB"/>
    <w:rsid w:val="00E40B37"/>
    <w:rsid w:val="00E529F9"/>
    <w:rsid w:val="00E570B4"/>
    <w:rsid w:val="00E70386"/>
    <w:rsid w:val="00E87EE2"/>
    <w:rsid w:val="00EC47A8"/>
    <w:rsid w:val="00F453DD"/>
    <w:rsid w:val="00F6326F"/>
    <w:rsid w:val="00F66DB8"/>
    <w:rsid w:val="00FA3174"/>
    <w:rsid w:val="00FE7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B2C6C-EB27-4BC4-8115-BDE7A05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tulo2">
    <w:name w:val="heading 2"/>
    <w:aliases w:val="Subheadline"/>
    <w:basedOn w:val="Normal"/>
    <w:next w:val="Normal"/>
    <w:link w:val="Ttulo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177"/>
    <w:rPr>
      <w:rFonts w:ascii="Arial" w:eastAsiaTheme="majorEastAsia" w:hAnsi="Arial" w:cstheme="majorBidi"/>
      <w:b/>
      <w:bCs/>
      <w:sz w:val="28"/>
      <w:szCs w:val="28"/>
    </w:rPr>
  </w:style>
  <w:style w:type="character" w:customStyle="1" w:styleId="Ttulo2Car">
    <w:name w:val="Título 2 Car"/>
    <w:aliases w:val="Subheadline Car"/>
    <w:basedOn w:val="Fuentedeprrafopredeter"/>
    <w:link w:val="Ttulo2"/>
    <w:uiPriority w:val="9"/>
    <w:semiHidden/>
    <w:rsid w:val="004D2177"/>
    <w:rPr>
      <w:rFonts w:ascii="Arial" w:eastAsiaTheme="majorEastAsia" w:hAnsi="Arial" w:cstheme="majorBidi"/>
      <w:bCs/>
      <w:i/>
      <w:sz w:val="24"/>
      <w:szCs w:val="26"/>
    </w:rPr>
  </w:style>
  <w:style w:type="paragraph" w:styleId="Puesto">
    <w:name w:val="Title"/>
    <w:basedOn w:val="Normal"/>
    <w:next w:val="Normal"/>
    <w:link w:val="Puesto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PuestoCar">
    <w:name w:val="Puesto Car"/>
    <w:basedOn w:val="Fuentedeprrafopredeter"/>
    <w:link w:val="Puesto"/>
    <w:uiPriority w:val="10"/>
    <w:rsid w:val="004D2177"/>
    <w:rPr>
      <w:rFonts w:ascii="Arial" w:eastAsiaTheme="majorEastAsia" w:hAnsi="Arial" w:cstheme="majorBidi"/>
      <w:b/>
      <w:spacing w:val="5"/>
      <w:kern w:val="28"/>
      <w:sz w:val="36"/>
      <w:szCs w:val="52"/>
    </w:rPr>
  </w:style>
  <w:style w:type="character" w:styleId="Hipervnculo">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Refdecomentario">
    <w:name w:val="annotation reference"/>
    <w:uiPriority w:val="99"/>
    <w:semiHidden/>
    <w:unhideWhenUsed/>
    <w:rsid w:val="00D108AC"/>
    <w:rPr>
      <w:sz w:val="16"/>
      <w:szCs w:val="16"/>
    </w:rPr>
  </w:style>
  <w:style w:type="paragraph" w:styleId="Textocomentario">
    <w:name w:val="annotation text"/>
    <w:basedOn w:val="Normal"/>
    <w:link w:val="TextocomentarioCar"/>
    <w:uiPriority w:val="99"/>
    <w:unhideWhenUsed/>
    <w:rsid w:val="00D108AC"/>
    <w:rPr>
      <w:sz w:val="20"/>
      <w:szCs w:val="20"/>
    </w:rPr>
  </w:style>
  <w:style w:type="character" w:customStyle="1" w:styleId="TextocomentarioCar">
    <w:name w:val="Texto comentario Car"/>
    <w:basedOn w:val="Fuentedeprrafopredeter"/>
    <w:link w:val="Textocomentario"/>
    <w:uiPriority w:val="99"/>
    <w:rsid w:val="00D108AC"/>
    <w:rPr>
      <w:rFonts w:ascii="Times New Roman" w:eastAsia="Times New Roman" w:hAnsi="Times New Roman" w:cs="Times New Roman"/>
      <w:kern w:val="1"/>
      <w:sz w:val="20"/>
      <w:szCs w:val="20"/>
      <w:lang w:eastAsia="ar-SA"/>
    </w:rPr>
  </w:style>
  <w:style w:type="paragraph" w:styleId="Textodeglobo">
    <w:name w:val="Balloon Text"/>
    <w:basedOn w:val="Normal"/>
    <w:link w:val="TextodegloboCar"/>
    <w:uiPriority w:val="99"/>
    <w:semiHidden/>
    <w:unhideWhenUsed/>
    <w:rsid w:val="00D108AC"/>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8AC"/>
    <w:rPr>
      <w:rFonts w:ascii="Tahoma" w:eastAsia="Times New Roman" w:hAnsi="Tahoma" w:cs="Tahoma"/>
      <w:kern w:val="1"/>
      <w:sz w:val="16"/>
      <w:szCs w:val="16"/>
      <w:lang w:eastAsia="ar-SA"/>
    </w:rPr>
  </w:style>
  <w:style w:type="paragraph" w:styleId="Asuntodelcomentario">
    <w:name w:val="annotation subject"/>
    <w:basedOn w:val="Textocomentario"/>
    <w:next w:val="Textocomentario"/>
    <w:link w:val="AsuntodelcomentarioCar"/>
    <w:uiPriority w:val="99"/>
    <w:semiHidden/>
    <w:unhideWhenUsed/>
    <w:rsid w:val="009C67E6"/>
    <w:rPr>
      <w:b/>
      <w:bCs/>
    </w:rPr>
  </w:style>
  <w:style w:type="character" w:customStyle="1" w:styleId="AsuntodelcomentarioCar">
    <w:name w:val="Asunto del comentario Car"/>
    <w:basedOn w:val="TextocomentarioCar"/>
    <w:link w:val="Asuntodelcomentario"/>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ormalWeb">
    <w:name w:val="Normal (Web)"/>
    <w:basedOn w:val="Normal"/>
    <w:uiPriority w:val="99"/>
    <w:rsid w:val="001E2899"/>
    <w:pPr>
      <w:suppressAutoHyphens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de/produkte/xt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h" TargetMode="Externa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etx.html"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h"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Mari Carmen Tarrío</cp:lastModifiedBy>
  <cp:revision>2</cp:revision>
  <dcterms:created xsi:type="dcterms:W3CDTF">2016-02-01T12:58:00Z</dcterms:created>
  <dcterms:modified xsi:type="dcterms:W3CDTF">2016-02-01T12:58:00Z</dcterms:modified>
</cp:coreProperties>
</file>