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 dei lettori</w:t>
            </w:r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 Stampa</w:t>
            </w:r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626A6F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5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626A6F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6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626A6F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7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626A6F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AD0E94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AD0E94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52400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ELX_rep with shadow_min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DC" w:rsidRPr="00952ADC" w:rsidRDefault="00952ADC" w:rsidP="00952ADC">
      <w:pPr>
        <w:spacing w:after="120"/>
        <w:rPr>
          <w:rFonts w:ascii="Hind107 Light" w:hAnsi="Hind107 Light" w:cs="Hind107 Light"/>
          <w:i/>
          <w:sz w:val="18"/>
          <w:szCs w:val="18"/>
          <w:lang w:val="it-IT"/>
        </w:rPr>
      </w:pPr>
      <w:r w:rsidRPr="00952ADC">
        <w:rPr>
          <w:rFonts w:ascii="Hind107 Light" w:hAnsi="Hind107 Light" w:cs="Hind107 Light"/>
          <w:i/>
          <w:sz w:val="18"/>
          <w:szCs w:val="18"/>
          <w:lang w:val="it-IT"/>
        </w:rPr>
        <w:t xml:space="preserve">Ciclo di vita esteso: i moduli ETX e XTX di congatec equipaggiati con processori Geode™ LX 800 di AMD introdotti nel 2005 e nel 2007 sono ora disponibili almeno fino al </w:t>
      </w:r>
      <w:proofErr w:type="gramStart"/>
      <w:r w:rsidRPr="00952ADC">
        <w:rPr>
          <w:rFonts w:ascii="Hind107 Light" w:hAnsi="Hind107 Light" w:cs="Hind107 Light"/>
          <w:i/>
          <w:sz w:val="18"/>
          <w:szCs w:val="18"/>
          <w:lang w:val="it-IT"/>
        </w:rPr>
        <w:t>2019</w:t>
      </w:r>
      <w:proofErr w:type="gramEnd"/>
    </w:p>
    <w:p w:rsidR="00EC47A8" w:rsidRPr="002719EA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proofErr w:type="gramStart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0" w:history="1">
        <w:r w:rsidRPr="002719EA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proofErr w:type="gramEnd"/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41314D" w:rsidRPr="00F35F8A" w:rsidRDefault="0041314D" w:rsidP="0041314D">
      <w:pPr>
        <w:spacing w:after="120"/>
        <w:rPr>
          <w:rFonts w:ascii="Hind107 Light" w:hAnsi="Hind107 Light" w:cs="Hind107 Light"/>
          <w:b/>
          <w:i/>
          <w:iCs/>
          <w:color w:val="000000"/>
          <w:u w:val="single"/>
          <w:lang w:val="it-IT"/>
        </w:rPr>
      </w:pPr>
      <w:r w:rsidRPr="00F35F8A">
        <w:rPr>
          <w:rFonts w:ascii="Hind107 Light" w:hAnsi="Hind107 Light" w:cs="Hind107 Light"/>
          <w:b/>
          <w:u w:val="single"/>
          <w:lang w:val="it-IT"/>
        </w:rPr>
        <w:t xml:space="preserve">Comunicato stampa </w:t>
      </w:r>
    </w:p>
    <w:p w:rsidR="00D108AC" w:rsidRPr="00F35F8A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it-IT"/>
        </w:rPr>
      </w:pPr>
    </w:p>
    <w:p w:rsidR="00DC5347" w:rsidRPr="00A828AA" w:rsidRDefault="00DC5347" w:rsidP="00321A9C">
      <w:pPr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proofErr w:type="gramStart"/>
      <w:r w:rsidRPr="009E2001">
        <w:rPr>
          <w:rFonts w:ascii="Hind107 Bold" w:hAnsi="Hind107 Bold" w:cs="Hind107 Bold"/>
          <w:b/>
          <w:bCs/>
          <w:sz w:val="28"/>
          <w:szCs w:val="28"/>
          <w:lang w:val="it-IT"/>
        </w:rPr>
        <w:t>congatec</w:t>
      </w:r>
      <w:proofErr w:type="gramEnd"/>
      <w:r w:rsidRPr="009E2001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annuncia l'este</w:t>
      </w:r>
      <w:r>
        <w:rPr>
          <w:rFonts w:ascii="Hind107 Bold" w:hAnsi="Hind107 Bold" w:cs="Hind107 Bold"/>
          <w:b/>
          <w:bCs/>
          <w:sz w:val="28"/>
          <w:szCs w:val="28"/>
          <w:lang w:val="it-IT"/>
        </w:rPr>
        <w:t>n</w:t>
      </w:r>
      <w:r w:rsidRPr="009E2001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sione del </w:t>
      </w:r>
      <w:r w:rsidR="00D6009C">
        <w:rPr>
          <w:rFonts w:ascii="Hind107 Bold" w:hAnsi="Hind107 Bold" w:cs="Hind107 Bold"/>
          <w:b/>
          <w:bCs/>
          <w:sz w:val="28"/>
          <w:szCs w:val="28"/>
          <w:lang w:val="it-IT"/>
        </w:rPr>
        <w:br/>
      </w:r>
      <w:r w:rsidRPr="00A828AA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ciclo di vita dei moduli ETX e XTX </w:t>
      </w:r>
    </w:p>
    <w:p w:rsidR="00B169E1" w:rsidRPr="00A828AA" w:rsidRDefault="00B169E1" w:rsidP="00DC5347">
      <w:pPr>
        <w:pStyle w:val="Standard1"/>
        <w:jc w:val="center"/>
        <w:rPr>
          <w:rFonts w:ascii="Hind Light" w:hAnsi="Hind Light" w:cs="Hind Light"/>
          <w:b/>
          <w:bCs/>
          <w:lang w:val="it-IT"/>
        </w:rPr>
      </w:pPr>
    </w:p>
    <w:p w:rsidR="00DC5347" w:rsidRPr="00A828AA" w:rsidRDefault="00DC5347" w:rsidP="00DC5347">
      <w:pPr>
        <w:pStyle w:val="Standard1"/>
        <w:jc w:val="center"/>
        <w:rPr>
          <w:rFonts w:ascii="Hind Light" w:hAnsi="Hind Light" w:cs="Hind Light"/>
          <w:b/>
          <w:bCs/>
          <w:lang w:val="it-IT"/>
        </w:rPr>
      </w:pPr>
      <w:r w:rsidRPr="00A828AA">
        <w:rPr>
          <w:rFonts w:ascii="Hind Light" w:hAnsi="Hind Light" w:cs="Hind Light"/>
          <w:b/>
          <w:bCs/>
          <w:lang w:val="it-IT"/>
        </w:rPr>
        <w:t xml:space="preserve">I moduli della società basati sui processori Geode LX 800 di AMD </w:t>
      </w:r>
      <w:r w:rsidR="00580A73" w:rsidRPr="00A828AA">
        <w:rPr>
          <w:rFonts w:ascii="Hind Light" w:hAnsi="Hind Light" w:cs="Hind Light"/>
          <w:b/>
          <w:bCs/>
          <w:lang w:val="it-IT"/>
        </w:rPr>
        <w:br/>
      </w:r>
      <w:r w:rsidRPr="00A828AA">
        <w:rPr>
          <w:rFonts w:ascii="Hind Light" w:hAnsi="Hind Light" w:cs="Hind Light"/>
          <w:b/>
          <w:bCs/>
          <w:lang w:val="it-IT"/>
        </w:rPr>
        <w:t xml:space="preserve">saranno disponibili almeno fino al </w:t>
      </w:r>
      <w:proofErr w:type="gramStart"/>
      <w:r w:rsidRPr="00A828AA">
        <w:rPr>
          <w:rFonts w:ascii="Hind Light" w:hAnsi="Hind Light" w:cs="Hind Light"/>
          <w:b/>
          <w:bCs/>
          <w:lang w:val="it-IT"/>
        </w:rPr>
        <w:t>2019</w:t>
      </w:r>
      <w:proofErr w:type="gramEnd"/>
    </w:p>
    <w:p w:rsidR="003C5916" w:rsidRPr="00A828AA" w:rsidRDefault="003C5916" w:rsidP="003C5916">
      <w:pPr>
        <w:jc w:val="center"/>
        <w:rPr>
          <w:rFonts w:ascii="Hind Light" w:hAnsi="Hind Light" w:cs="Hind Light"/>
          <w:b/>
          <w:sz w:val="22"/>
          <w:szCs w:val="22"/>
          <w:lang w:val="it-IT"/>
        </w:rPr>
      </w:pPr>
    </w:p>
    <w:p w:rsidR="00A4629B" w:rsidRPr="00A828AA" w:rsidRDefault="00A4629B" w:rsidP="00A4629B">
      <w:pPr>
        <w:pStyle w:val="StandardWeb"/>
        <w:spacing w:after="0" w:line="360" w:lineRule="auto"/>
        <w:rPr>
          <w:rFonts w:ascii="Hind107 Light" w:hAnsi="Hind107 Light" w:cs="Hind107 Light"/>
          <w:sz w:val="22"/>
          <w:szCs w:val="22"/>
        </w:rPr>
      </w:pPr>
      <w:r w:rsidRPr="00A828AA">
        <w:rPr>
          <w:rStyle w:val="Kommentarzeichen1"/>
          <w:rFonts w:ascii="Hind107 Light" w:hAnsi="Hind107 Light" w:cs="Hind107 Light"/>
          <w:b/>
          <w:sz w:val="22"/>
          <w:szCs w:val="22"/>
        </w:rPr>
        <w:t xml:space="preserve">Deggendorf, Germania, 21 </w:t>
      </w:r>
      <w:proofErr w:type="gramStart"/>
      <w:r w:rsidRPr="00A828AA">
        <w:rPr>
          <w:rStyle w:val="Kommentarzeichen1"/>
          <w:rFonts w:ascii="Hind107 Light" w:hAnsi="Hind107 Light" w:cs="Hind107 Light"/>
          <w:b/>
          <w:sz w:val="22"/>
          <w:szCs w:val="22"/>
        </w:rPr>
        <w:t>Gennaio</w:t>
      </w:r>
      <w:proofErr w:type="gramEnd"/>
      <w:r w:rsidRPr="00A828AA">
        <w:rPr>
          <w:rStyle w:val="Kommentarzeichen1"/>
          <w:rFonts w:ascii="Hind107 Light" w:hAnsi="Hind107 Light" w:cs="Hind107 Light"/>
          <w:b/>
          <w:sz w:val="22"/>
          <w:szCs w:val="22"/>
        </w:rPr>
        <w:t xml:space="preserve"> 2016</w:t>
      </w:r>
      <w:r w:rsidRPr="00A828AA">
        <w:rPr>
          <w:rFonts w:ascii="Hind107 Light" w:hAnsi="Hind107 Light" w:cs="Hind107 Light"/>
          <w:b/>
          <w:sz w:val="22"/>
          <w:szCs w:val="22"/>
        </w:rPr>
        <w:t xml:space="preserve">   * * *  </w:t>
      </w:r>
      <w:r w:rsidRPr="00A828AA">
        <w:rPr>
          <w:rFonts w:ascii="Hind107 Light" w:hAnsi="Hind107 Light" w:cs="Hind107 Light"/>
          <w:sz w:val="22"/>
          <w:szCs w:val="22"/>
        </w:rPr>
        <w:t xml:space="preserve"> congatec AG, azienda leader nel settore dei moduli di elaborazione embedded, dei computer su scheda singola (SBC - Single Board Computer) e dei servizi EDM (Embedded Design and Manufacturing), ha annunciato l'estensione del ciclo di vita dei propri moduli nei formati ETX e XTX basati sui processori AMD. In particolare i moduli conga-ELX, conga-ELXeco e conga-XLX introdotti negli anni 2005 e 2007 ed equipaggiati con i processori Geode™ LX 800</w:t>
      </w:r>
      <w:r w:rsidR="00B66D64" w:rsidRPr="00A828AA">
        <w:rPr>
          <w:rFonts w:ascii="Hind107 Light" w:hAnsi="Hind107 Light" w:cs="Hind107 Light"/>
          <w:sz w:val="22"/>
          <w:szCs w:val="22"/>
        </w:rPr>
        <w:t xml:space="preserve"> di AMD</w:t>
      </w:r>
      <w:r w:rsidRPr="00A828AA">
        <w:rPr>
          <w:rFonts w:ascii="Hind107 Light" w:hAnsi="Hind107 Light" w:cs="Hind107 Light"/>
          <w:sz w:val="22"/>
          <w:szCs w:val="22"/>
        </w:rPr>
        <w:t xml:space="preserve"> </w:t>
      </w:r>
      <w:r w:rsidR="00A21403" w:rsidRPr="00A828AA">
        <w:rPr>
          <w:rFonts w:ascii="Hind107 Light" w:hAnsi="Hind107 Light" w:cs="Hind107 Light"/>
          <w:sz w:val="22"/>
          <w:szCs w:val="22"/>
        </w:rPr>
        <w:t>d</w:t>
      </w:r>
      <w:r w:rsidRPr="00A828AA">
        <w:rPr>
          <w:rFonts w:ascii="Hind107 Light" w:hAnsi="Hind107 Light" w:cs="Hind107 Light"/>
          <w:sz w:val="22"/>
          <w:szCs w:val="22"/>
        </w:rPr>
        <w:t>a 500 MHz</w:t>
      </w:r>
      <w:r w:rsidR="00B66D64" w:rsidRPr="00A828AA">
        <w:rPr>
          <w:rFonts w:ascii="Hind107 Light" w:hAnsi="Hind107 Light" w:cs="Hind107 Light"/>
          <w:sz w:val="22"/>
          <w:szCs w:val="22"/>
        </w:rPr>
        <w:t>,</w:t>
      </w:r>
      <w:r w:rsidRPr="00A828AA">
        <w:rPr>
          <w:rFonts w:ascii="Hind107 Light" w:hAnsi="Hind107 Light" w:cs="Hind107 Light"/>
          <w:sz w:val="22"/>
          <w:szCs w:val="22"/>
        </w:rPr>
        <w:t xml:space="preserve"> saranno supportati almeno fino al 2019, con un'estensione della disponibilità dag</w:t>
      </w:r>
      <w:r w:rsidR="000573D3" w:rsidRPr="00A828AA">
        <w:rPr>
          <w:rFonts w:ascii="Hind107 Light" w:hAnsi="Hind107 Light" w:cs="Hind107 Light"/>
          <w:sz w:val="22"/>
          <w:szCs w:val="22"/>
        </w:rPr>
        <w:t xml:space="preserve">li usuali </w:t>
      </w:r>
      <w:proofErr w:type="gramStart"/>
      <w:r w:rsidR="000573D3" w:rsidRPr="00A828AA">
        <w:rPr>
          <w:rFonts w:ascii="Hind107 Light" w:hAnsi="Hind107 Light" w:cs="Hind107 Light"/>
          <w:sz w:val="22"/>
          <w:szCs w:val="22"/>
        </w:rPr>
        <w:t>7</w:t>
      </w:r>
      <w:proofErr w:type="gramEnd"/>
      <w:r w:rsidR="000573D3" w:rsidRPr="00A828AA">
        <w:rPr>
          <w:rFonts w:ascii="Hind107 Light" w:hAnsi="Hind107 Light" w:cs="Hind107 Light"/>
          <w:sz w:val="22"/>
          <w:szCs w:val="22"/>
        </w:rPr>
        <w:t xml:space="preserve"> anni a 12 – 14 anni</w:t>
      </w:r>
      <w:r w:rsidR="00F35F8A" w:rsidRPr="00A828AA">
        <w:rPr>
          <w:rFonts w:ascii="Hind107 Light" w:hAnsi="Hind107 Light" w:cs="Hind107 Light"/>
          <w:sz w:val="22"/>
          <w:szCs w:val="22"/>
        </w:rPr>
        <w:t>,</w:t>
      </w:r>
      <w:r w:rsidR="00A7088B" w:rsidRPr="00A828AA">
        <w:rPr>
          <w:rFonts w:ascii="Hind107 Light" w:hAnsi="Hind107 Light" w:cs="Hind107 Light"/>
          <w:sz w:val="22"/>
          <w:szCs w:val="22"/>
        </w:rPr>
        <w:t xml:space="preserve"> </w:t>
      </w:r>
      <w:r w:rsidR="000573D3" w:rsidRPr="00A828AA">
        <w:rPr>
          <w:rFonts w:ascii="Hind107 Light" w:hAnsi="Hind107 Light" w:cs="Hind107 Light"/>
          <w:sz w:val="22"/>
          <w:szCs w:val="22"/>
        </w:rPr>
        <w:t>i</w:t>
      </w:r>
      <w:r w:rsidR="006876D0" w:rsidRPr="00A828AA">
        <w:rPr>
          <w:rFonts w:ascii="Hind107 Light" w:hAnsi="Hind107 Light" w:cs="Hind107 Light"/>
          <w:sz w:val="22"/>
          <w:szCs w:val="22"/>
        </w:rPr>
        <w:t>l doppio rispetto alla normale ciclo di vita dei moduli basati su architettura x86.</w:t>
      </w: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Grazie </w:t>
      </w:r>
      <w:r w:rsidR="00941706" w:rsidRPr="00A828AA">
        <w:rPr>
          <w:rFonts w:ascii="Hind107 Light" w:hAnsi="Hind107 Light" w:cs="Hind107 Light"/>
          <w:sz w:val="22"/>
          <w:szCs w:val="22"/>
          <w:lang w:val="it-IT"/>
        </w:rPr>
        <w:t xml:space="preserve">all’estensione della 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t>fornitura</w:t>
      </w:r>
      <w:r w:rsidR="00941706" w:rsidRPr="00A828AA">
        <w:rPr>
          <w:rFonts w:ascii="Hind107 Light" w:hAnsi="Hind107 Light" w:cs="Hind107 Light"/>
          <w:sz w:val="22"/>
          <w:szCs w:val="22"/>
          <w:lang w:val="it-IT"/>
        </w:rPr>
        <w:t xml:space="preserve"> dei moduli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per almeno altri quattro anni, gli OEM possono beneficiare di un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ulteriore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ritorno degli investimenti dei progetti basati sui bus ISA 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e PCI che sono stati sviluppati e introdotti sul mercato all'incirca 10 anni fa. E' anche garantito il supporto per progetti sviluppati con moduli oramai fuori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produzione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in quanto la specifica ETX è standardizzata e prevede la possibilità di utilizzare moduli di altri produttori. In situazioni di questo tipo congatec mette a disposizione un servizio personalizzato il cui obiettivo è semplificare per quanto possibile la fase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>integrazione per gli OEM. Progetti di questo tipo sono comuni nel settore del controllo industriale così come in applicazioni quali interfacce operatore (HMI) e thin client che utilizzano porte seriali e/o bus da campo spesso collegati medianti interfacce "legacy" come ad esempio il bus ISA.</w:t>
      </w: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"Sebbene gli OEM vogliano utilizzare i loro design il più a lungo possibile, la cessazione della produzione di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componenti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e processori li costringe a effettuare un re-design più spesso di quanto vorrebbero" – ha spiegato Martin Danzer, direttore per le attività di gestione di prodotto di congatec AG. "Il nostro obiettivo è interrompere questo circolo vizioso e la prolungata disponibilità dei nostri moduli ETX e XTX basati sui processori Geode LX 800 di AMD è un passo importante in questa direzione". "Si tratta anche della conferma di una politica di prodotto di successo condotta sia da AMD sia da congatec – ha proseguito Danzer – con ricadute molto positive sui clienti che hanno sviluppato sistemi di controllo largamente diffusi basati su processori x86 per uso industriale caratterizzati da consumi di soli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0,9W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>".</w:t>
      </w: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"Quando abbiamo introdotto il processore Geode LX 800 nel 2005 – ha ricordato Colin Cureton, direttore delle attività di marketing e gestione prodotto di AMD Enterprise Solutions – esso era il dispositivo caratterizzato dal miglior rapporto tra prestazioni e consumi per le applicazioni a 32 bit basate su architetture x86. Molte applicazioni, inoltre, erano state convertire in progetti di tipo "lead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free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". Tutti questi fattori hanno favorito lo sviluppo </w:t>
      </w:r>
      <w:r w:rsidR="00461531" w:rsidRPr="00A828AA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un numero </w:t>
      </w:r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decisamente</w:t>
      </w:r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elevato di progetti, contribuendo alla larga diffusione e alla disponibilità sul lungo termine di questa piattaforma".</w:t>
      </w:r>
    </w:p>
    <w:p w:rsidR="00A4629B" w:rsidRPr="00A828AA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880CE0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Il supporto sul lungo termine, almeno fino al 2019, per i moduli ETX e XTX basati sul processore Geode LX 800 di AMD rappresenta probabilmente un record nella storia dei 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processori x86 per moduli </w:t>
      </w:r>
      <w:proofErr w:type="spellStart"/>
      <w:r w:rsidR="00523714" w:rsidRPr="00A828AA">
        <w:rPr>
          <w:rFonts w:ascii="Hind107 Light" w:hAnsi="Hind107 Light" w:cs="Hind107 Light"/>
          <w:sz w:val="22"/>
          <w:szCs w:val="22"/>
          <w:lang w:val="it-IT"/>
        </w:rPr>
        <w:t>CoM</w:t>
      </w:r>
      <w:proofErr w:type="spellEnd"/>
      <w:r w:rsidR="00523714" w:rsidRPr="00A828AA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t>(</w:t>
      </w:r>
      <w:proofErr w:type="spellStart"/>
      <w:proofErr w:type="gramStart"/>
      <w:r w:rsidRPr="00A828AA">
        <w:rPr>
          <w:rFonts w:ascii="Hind107 Light" w:hAnsi="Hind107 Light" w:cs="Hind107 Light"/>
          <w:sz w:val="22"/>
          <w:szCs w:val="22"/>
          <w:lang w:val="it-IT"/>
        </w:rPr>
        <w:t>Computer-on-Module</w:t>
      </w:r>
      <w:proofErr w:type="spellEnd"/>
      <w:proofErr w:type="gramEnd"/>
      <w:r w:rsidRPr="00A828AA">
        <w:rPr>
          <w:rFonts w:ascii="Hind107 Light" w:hAnsi="Hind107 Light" w:cs="Hind107 Light"/>
          <w:sz w:val="22"/>
          <w:szCs w:val="22"/>
          <w:lang w:val="it-IT"/>
        </w:rPr>
        <w:t>) basati su standard aperti. Molti di questi moduli sono tuttora molto competitivi. Ogni anno congatec continua a consegnare oltre 20.000 moduli di elaborazione equipaggiati con processor</w:t>
      </w:r>
      <w:r w:rsidR="00177A86" w:rsidRPr="00A828AA">
        <w:rPr>
          <w:rFonts w:ascii="Hind107 Light" w:hAnsi="Hind107 Light" w:cs="Hind107 Light"/>
          <w:sz w:val="22"/>
          <w:szCs w:val="22"/>
          <w:lang w:val="it-IT"/>
        </w:rPr>
        <w:t>i</w:t>
      </w:r>
      <w:r w:rsidRPr="00A828AA">
        <w:rPr>
          <w:rFonts w:ascii="Hind107 Light" w:hAnsi="Hind107 Light" w:cs="Hind107 Light"/>
          <w:sz w:val="22"/>
          <w:szCs w:val="22"/>
          <w:lang w:val="it-IT"/>
        </w:rPr>
        <w:t xml:space="preserve"> Geode LX 800 di AMD per il mercato embedded.</w:t>
      </w:r>
      <w:r w:rsidR="004C7017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</w:p>
    <w:p w:rsidR="00A4629B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880CE0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A4629B" w:rsidRPr="00880CE0" w:rsidRDefault="00A4629B" w:rsidP="00A4629B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Per ulteriori informazioni sui moduli ETX </w:t>
      </w:r>
      <w:r>
        <w:rPr>
          <w:rFonts w:ascii="Hind107 Light" w:hAnsi="Hind107 Light" w:cs="Hind107 Light"/>
          <w:sz w:val="22"/>
          <w:szCs w:val="22"/>
          <w:lang w:val="it-IT"/>
        </w:rPr>
        <w:t>di congatec basati sui processori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 Geode LX 800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 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AMD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è possibile consultare il sito all'indirizzo: </w:t>
      </w:r>
      <w:hyperlink r:id="rId11" w:history="1">
        <w:r w:rsidRPr="00880CE0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http://www.congatec.com/en/products/etx.html</w:t>
        </w:r>
      </w:hyperlink>
    </w:p>
    <w:p w:rsidR="00A4629B" w:rsidRPr="00880CE0" w:rsidRDefault="00A4629B" w:rsidP="00A462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Per ulteriori informazioni sui moduli </w:t>
      </w:r>
      <w:r>
        <w:rPr>
          <w:rFonts w:ascii="Hind107 Light" w:hAnsi="Hind107 Light" w:cs="Hind107 Light"/>
          <w:sz w:val="22"/>
          <w:szCs w:val="22"/>
          <w:lang w:val="it-IT"/>
        </w:rPr>
        <w:t>X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TX </w:t>
      </w:r>
      <w:r>
        <w:rPr>
          <w:rFonts w:ascii="Hind107 Light" w:hAnsi="Hind107 Light" w:cs="Hind107 Light"/>
          <w:sz w:val="22"/>
          <w:szCs w:val="22"/>
          <w:lang w:val="it-IT"/>
        </w:rPr>
        <w:t>di congatec basati sui processori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 Geode LX 800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 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 xml:space="preserve">AMD </w:t>
      </w:r>
      <w:r>
        <w:rPr>
          <w:rFonts w:ascii="Hind107 Light" w:hAnsi="Hind107 Light" w:cs="Hind107 Light"/>
          <w:sz w:val="22"/>
          <w:szCs w:val="22"/>
          <w:lang w:val="it-IT"/>
        </w:rPr>
        <w:t>è possibile consultare il sito all'indirizzo</w:t>
      </w:r>
      <w:r w:rsidRPr="00880CE0">
        <w:rPr>
          <w:rFonts w:ascii="Hind107 Light" w:hAnsi="Hind107 Light" w:cs="Hind107 Light"/>
          <w:sz w:val="22"/>
          <w:szCs w:val="22"/>
          <w:lang w:val="it-IT"/>
        </w:rPr>
        <w:t>: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hyperlink r:id="rId12" w:history="1">
        <w:r w:rsidRPr="00880CE0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http://www.congatec.com/de/produkte/xtx.html</w:t>
        </w:r>
      </w:hyperlink>
    </w:p>
    <w:p w:rsidR="00D108AC" w:rsidRPr="00A4629B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monoscheda (SBC), servizi EDM e moduli informatici industriali che utilizzano fattori di forma standard Qseven, COM Express, XTX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3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4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5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6" w:history="1">
        <w:proofErr w:type="spellStart"/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108AC"/>
    <w:rsid w:val="000436FF"/>
    <w:rsid w:val="000573D3"/>
    <w:rsid w:val="00064CB6"/>
    <w:rsid w:val="000869F6"/>
    <w:rsid w:val="000E736A"/>
    <w:rsid w:val="0010462C"/>
    <w:rsid w:val="00143DF4"/>
    <w:rsid w:val="00157343"/>
    <w:rsid w:val="00177A86"/>
    <w:rsid w:val="001B77CF"/>
    <w:rsid w:val="002018D7"/>
    <w:rsid w:val="00212286"/>
    <w:rsid w:val="002172C9"/>
    <w:rsid w:val="002719EA"/>
    <w:rsid w:val="002D625D"/>
    <w:rsid w:val="002E36C4"/>
    <w:rsid w:val="00321A9C"/>
    <w:rsid w:val="00341F3D"/>
    <w:rsid w:val="00347DCD"/>
    <w:rsid w:val="00360715"/>
    <w:rsid w:val="003710B5"/>
    <w:rsid w:val="00371E89"/>
    <w:rsid w:val="003910AD"/>
    <w:rsid w:val="0039428B"/>
    <w:rsid w:val="003A2A5E"/>
    <w:rsid w:val="003C5916"/>
    <w:rsid w:val="0041314D"/>
    <w:rsid w:val="00443329"/>
    <w:rsid w:val="00461531"/>
    <w:rsid w:val="00463673"/>
    <w:rsid w:val="004862BC"/>
    <w:rsid w:val="004C7017"/>
    <w:rsid w:val="004D2177"/>
    <w:rsid w:val="00523714"/>
    <w:rsid w:val="00580A73"/>
    <w:rsid w:val="005B1C06"/>
    <w:rsid w:val="005C6F13"/>
    <w:rsid w:val="005D4576"/>
    <w:rsid w:val="00626A6F"/>
    <w:rsid w:val="00650EC8"/>
    <w:rsid w:val="00655B81"/>
    <w:rsid w:val="006876D0"/>
    <w:rsid w:val="0069359A"/>
    <w:rsid w:val="006E5682"/>
    <w:rsid w:val="006F40DB"/>
    <w:rsid w:val="00700E83"/>
    <w:rsid w:val="00735068"/>
    <w:rsid w:val="007F032A"/>
    <w:rsid w:val="007F10E7"/>
    <w:rsid w:val="00844C3F"/>
    <w:rsid w:val="00881B43"/>
    <w:rsid w:val="008D011F"/>
    <w:rsid w:val="00915B34"/>
    <w:rsid w:val="0092236E"/>
    <w:rsid w:val="00941706"/>
    <w:rsid w:val="00952ADC"/>
    <w:rsid w:val="0098707E"/>
    <w:rsid w:val="00991214"/>
    <w:rsid w:val="009977CF"/>
    <w:rsid w:val="009C65B6"/>
    <w:rsid w:val="009C67E6"/>
    <w:rsid w:val="00A12023"/>
    <w:rsid w:val="00A21403"/>
    <w:rsid w:val="00A31EE8"/>
    <w:rsid w:val="00A4629B"/>
    <w:rsid w:val="00A52DFF"/>
    <w:rsid w:val="00A7088B"/>
    <w:rsid w:val="00A828AA"/>
    <w:rsid w:val="00AD0E94"/>
    <w:rsid w:val="00B169E1"/>
    <w:rsid w:val="00B37B7A"/>
    <w:rsid w:val="00B66D64"/>
    <w:rsid w:val="00B86632"/>
    <w:rsid w:val="00BB0080"/>
    <w:rsid w:val="00BD06A3"/>
    <w:rsid w:val="00BD1DEC"/>
    <w:rsid w:val="00C42896"/>
    <w:rsid w:val="00CB0678"/>
    <w:rsid w:val="00CC0079"/>
    <w:rsid w:val="00D108AC"/>
    <w:rsid w:val="00D15B2E"/>
    <w:rsid w:val="00D6009C"/>
    <w:rsid w:val="00D97692"/>
    <w:rsid w:val="00DA2690"/>
    <w:rsid w:val="00DC5347"/>
    <w:rsid w:val="00E032F5"/>
    <w:rsid w:val="00E40B37"/>
    <w:rsid w:val="00E529F9"/>
    <w:rsid w:val="00E55A8C"/>
    <w:rsid w:val="00EB436A"/>
    <w:rsid w:val="00EC47A8"/>
    <w:rsid w:val="00EF53C5"/>
    <w:rsid w:val="00F06CA0"/>
    <w:rsid w:val="00F1301F"/>
    <w:rsid w:val="00F24F0E"/>
    <w:rsid w:val="00F35F8A"/>
    <w:rsid w:val="00F453DD"/>
    <w:rsid w:val="00F60BB7"/>
    <w:rsid w:val="00F62C3B"/>
    <w:rsid w:val="00FA2562"/>
    <w:rsid w:val="00FA3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b/>
      <w:bCs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A4629B"/>
    <w:pPr>
      <w:suppressAutoHyphens w:val="0"/>
      <w:spacing w:before="100" w:beforeAutospacing="1" w:after="119"/>
    </w:pPr>
    <w:rPr>
      <w:kern w:val="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-network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prismapr.com" TargetMode="External"/><Relationship Id="rId12" Type="http://schemas.openxmlformats.org/officeDocument/2006/relationships/hyperlink" Target="http://www.congatec.com/de/produkte/xtx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gatec.it" TargetMode="External"/><Relationship Id="rId11" Type="http://schemas.openxmlformats.org/officeDocument/2006/relationships/hyperlink" Target="http://www.congatec.com/en/products/etx.html" TargetMode="External"/><Relationship Id="rId5" Type="http://schemas.openxmlformats.org/officeDocument/2006/relationships/hyperlink" Target="mailto:info@congatec.com" TargetMode="External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hyperlink" Target="http://www.congatec.com/press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5327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Christof Wilde</cp:lastModifiedBy>
  <cp:revision>29</cp:revision>
  <cp:lastPrinted>2016-02-03T08:49:00Z</cp:lastPrinted>
  <dcterms:created xsi:type="dcterms:W3CDTF">2016-02-03T08:40:00Z</dcterms:created>
  <dcterms:modified xsi:type="dcterms:W3CDTF">2016-02-11T09:20:00Z</dcterms:modified>
</cp:coreProperties>
</file>