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551DE" w:rsidRDefault="00D108AC" w:rsidP="00D108AC">
      <w:pPr>
        <w:spacing w:after="120"/>
        <w:rPr>
          <w:rFonts w:ascii="Arial" w:eastAsia="Arial" w:hAnsi="Arial" w:cs="Arial"/>
          <w:b/>
          <w:sz w:val="20"/>
          <w:u w:val="single"/>
        </w:rPr>
      </w:pPr>
      <w:bookmarkStart w:id="0" w:name="_GoBack"/>
      <w:bookmarkEnd w:id="0"/>
      <w:r w:rsidRPr="00D551D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AF3997" w:rsidP="008C7D2A">
            <w:pPr>
              <w:pStyle w:val="Standard1"/>
              <w:snapToGrid w:val="0"/>
              <w:spacing w:before="20"/>
              <w:rPr>
                <w:rFonts w:ascii="Arial" w:hAnsi="Arial" w:cs="Arial"/>
                <w:sz w:val="18"/>
                <w:szCs w:val="18"/>
              </w:rPr>
            </w:pPr>
            <w:hyperlink r:id="rId6" w:history="1">
              <w:r w:rsidR="00E40B37" w:rsidRPr="00D551DE">
                <w:rPr>
                  <w:rStyle w:val="Hyperlink"/>
                  <w:rFonts w:ascii="Arial" w:hAnsi="Arial" w:cs="Arial"/>
                  <w:sz w:val="18"/>
                  <w:szCs w:val="18"/>
                </w:rPr>
                <w:t>info@congatec.com</w:t>
              </w:r>
            </w:hyperlink>
          </w:p>
          <w:p w:rsidR="00E40B37" w:rsidRPr="00D551DE" w:rsidRDefault="00AF3997" w:rsidP="002D2DD9">
            <w:pPr>
              <w:pStyle w:val="Standard1"/>
              <w:snapToGrid w:val="0"/>
              <w:spacing w:before="20"/>
              <w:rPr>
                <w:rFonts w:ascii="Arial" w:hAnsi="Arial" w:cs="Arial"/>
                <w:sz w:val="18"/>
                <w:szCs w:val="18"/>
              </w:rPr>
            </w:pPr>
            <w:hyperlink r:id="rId7" w:history="1">
              <w:r w:rsidR="00E40B37" w:rsidRPr="00D551DE">
                <w:rPr>
                  <w:rStyle w:val="Hyperlink"/>
                  <w:rFonts w:ascii="Arial" w:hAnsi="Arial" w:cs="Arial"/>
                  <w:sz w:val="18"/>
                  <w:szCs w:val="18"/>
                </w:rPr>
                <w:t>www.congatec.com</w:t>
              </w:r>
            </w:hyperlink>
          </w:p>
        </w:tc>
        <w:tc>
          <w:tcPr>
            <w:tcW w:w="2551" w:type="dxa"/>
            <w:shd w:val="clear" w:color="auto" w:fill="auto"/>
          </w:tcPr>
          <w:p w:rsidR="00E40B37" w:rsidRPr="00D551DE" w:rsidRDefault="00AF3997" w:rsidP="008C7D2A">
            <w:pPr>
              <w:pStyle w:val="Standard1"/>
              <w:snapToGrid w:val="0"/>
              <w:spacing w:before="20"/>
              <w:rPr>
                <w:rFonts w:ascii="Arial" w:hAnsi="Arial" w:cs="Arial"/>
                <w:sz w:val="18"/>
                <w:szCs w:val="18"/>
              </w:rPr>
            </w:pPr>
            <w:hyperlink r:id="rId8" w:history="1">
              <w:r w:rsidR="00E40B37" w:rsidRPr="00D551DE">
                <w:rPr>
                  <w:rStyle w:val="Hyperlink"/>
                  <w:rFonts w:ascii="Arial" w:hAnsi="Arial" w:cs="Arial"/>
                  <w:sz w:val="18"/>
                  <w:szCs w:val="18"/>
                </w:rPr>
                <w:t>info@sams-network.com</w:t>
              </w:r>
            </w:hyperlink>
          </w:p>
          <w:p w:rsidR="00E40B37" w:rsidRPr="00D551DE" w:rsidRDefault="00AF3997" w:rsidP="002D2DD9">
            <w:pPr>
              <w:pStyle w:val="Standard1"/>
              <w:snapToGrid w:val="0"/>
              <w:spacing w:before="20"/>
              <w:rPr>
                <w:rFonts w:ascii="Arial" w:hAnsi="Arial" w:cs="Arial"/>
                <w:sz w:val="18"/>
                <w:szCs w:val="18"/>
              </w:rPr>
            </w:pPr>
            <w:hyperlink r:id="rId9" w:history="1">
              <w:r w:rsidR="00E40B37" w:rsidRPr="00D551DE">
                <w:rPr>
                  <w:rStyle w:val="Hyperlink"/>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6A7FD9" w:rsidRPr="002A4DD0" w:rsidRDefault="006A7FD9" w:rsidP="006A7FD9">
      <w:pPr>
        <w:pStyle w:val="Pressemitteilung"/>
        <w:spacing w:before="0" w:after="0"/>
        <w:rPr>
          <w:rFonts w:cs="Arial"/>
          <w:b w:val="0"/>
          <w:i/>
          <w:iCs/>
          <w:sz w:val="18"/>
          <w:szCs w:val="18"/>
          <w:highlight w:val="red"/>
          <w:u w:val="none"/>
          <w:lang w:val="en-US"/>
        </w:rPr>
      </w:pPr>
      <w:r>
        <w:rPr>
          <w:rFonts w:cs="Arial"/>
          <w:b w:val="0"/>
          <w:noProof/>
          <w:u w:val="none"/>
          <w:lang w:eastAsia="de-DE"/>
        </w:rPr>
        <w:drawing>
          <wp:inline distT="0" distB="0" distL="0" distR="0">
            <wp:extent cx="1043940" cy="1085215"/>
            <wp:effectExtent l="19050" t="0" r="3810" b="0"/>
            <wp:docPr id="1" name="Bild 1" descr="conga-IGX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IGX rep"/>
                    <pic:cNvPicPr>
                      <a:picLocks noChangeAspect="1" noChangeArrowheads="1"/>
                    </pic:cNvPicPr>
                  </pic:nvPicPr>
                  <pic:blipFill>
                    <a:blip r:embed="rId10" cstate="print"/>
                    <a:srcRect/>
                    <a:stretch>
                      <a:fillRect/>
                    </a:stretch>
                  </pic:blipFill>
                  <pic:spPr bwMode="auto">
                    <a:xfrm>
                      <a:off x="0" y="0"/>
                      <a:ext cx="1043940" cy="1085215"/>
                    </a:xfrm>
                    <a:prstGeom prst="rect">
                      <a:avLst/>
                    </a:prstGeom>
                    <a:noFill/>
                    <a:ln w="9525">
                      <a:noFill/>
                      <a:miter lim="800000"/>
                      <a:headEnd/>
                      <a:tailEnd/>
                    </a:ln>
                  </pic:spPr>
                </pic:pic>
              </a:graphicData>
            </a:graphic>
          </wp:inline>
        </w:drawing>
      </w:r>
    </w:p>
    <w:p w:rsidR="000131CB" w:rsidRPr="001B42BC" w:rsidRDefault="000131CB" w:rsidP="006A7FD9">
      <w:pPr>
        <w:pStyle w:val="Pressemitteilung"/>
        <w:spacing w:before="0" w:after="0"/>
        <w:rPr>
          <w:rFonts w:cs="Arial"/>
          <w:b w:val="0"/>
          <w:i/>
          <w:color w:val="000000"/>
          <w:sz w:val="20"/>
          <w:u w:val="none"/>
          <w:lang w:val="ru-RU" w:eastAsia="de-DE"/>
        </w:rPr>
      </w:pPr>
    </w:p>
    <w:p w:rsidR="006A7FD9" w:rsidRPr="001B42BC" w:rsidRDefault="006A7FD9" w:rsidP="006A7FD9">
      <w:pPr>
        <w:pStyle w:val="Pressemitteilung"/>
        <w:spacing w:before="0" w:after="0"/>
        <w:rPr>
          <w:rFonts w:cs="Arial"/>
          <w:b w:val="0"/>
          <w:i/>
          <w:color w:val="000000"/>
          <w:sz w:val="20"/>
          <w:u w:val="none"/>
          <w:lang w:val="ru-RU"/>
        </w:rPr>
      </w:pPr>
      <w:r w:rsidRPr="001B42BC">
        <w:rPr>
          <w:rFonts w:cs="Arial"/>
          <w:b w:val="0"/>
          <w:i/>
          <w:color w:val="000000"/>
          <w:sz w:val="20"/>
          <w:u w:val="none"/>
          <w:lang w:val="ru-RU" w:eastAsia="de-DE"/>
        </w:rPr>
        <w:t xml:space="preserve">Текст и фото доступны на </w:t>
      </w:r>
      <w:r w:rsidRPr="001B42BC">
        <w:rPr>
          <w:rFonts w:cs="Arial"/>
          <w:b w:val="0"/>
          <w:i/>
          <w:color w:val="000000"/>
          <w:sz w:val="20"/>
          <w:u w:val="none"/>
        </w:rPr>
        <w:fldChar w:fldCharType="begin"/>
      </w:r>
      <w:r w:rsidRPr="001B42BC">
        <w:rPr>
          <w:rFonts w:cs="Arial"/>
          <w:b w:val="0"/>
          <w:i/>
          <w:color w:val="000000"/>
          <w:sz w:val="20"/>
          <w:u w:val="none"/>
          <w:lang w:val="ru-RU"/>
        </w:rPr>
        <w:instrText xml:space="preserve"> </w:instrText>
      </w:r>
      <w:r w:rsidRPr="001B42BC">
        <w:rPr>
          <w:rFonts w:cs="Arial"/>
          <w:b w:val="0"/>
          <w:i/>
          <w:color w:val="000000"/>
          <w:sz w:val="20"/>
          <w:u w:val="none"/>
        </w:rPr>
        <w:instrText>HYPERLINK</w:instrText>
      </w:r>
      <w:r w:rsidRPr="001B42BC">
        <w:rPr>
          <w:rFonts w:cs="Arial"/>
          <w:b w:val="0"/>
          <w:i/>
          <w:color w:val="000000"/>
          <w:sz w:val="20"/>
          <w:u w:val="none"/>
          <w:lang w:val="ru-RU"/>
        </w:rPr>
        <w:instrText xml:space="preserve"> "</w:instrText>
      </w:r>
      <w:r w:rsidRPr="001B42BC">
        <w:rPr>
          <w:rFonts w:cs="Arial"/>
          <w:b w:val="0"/>
          <w:i/>
          <w:color w:val="000000"/>
          <w:sz w:val="20"/>
          <w:u w:val="none"/>
        </w:rPr>
        <w:instrText>http</w:instrText>
      </w:r>
      <w:r w:rsidRPr="001B42BC">
        <w:rPr>
          <w:rFonts w:cs="Arial"/>
          <w:b w:val="0"/>
          <w:i/>
          <w:color w:val="000000"/>
          <w:sz w:val="20"/>
          <w:u w:val="none"/>
          <w:lang w:val="ru-RU"/>
        </w:rPr>
        <w:instrText>://</w:instrText>
      </w:r>
      <w:r w:rsidRPr="001B42BC">
        <w:rPr>
          <w:rFonts w:cs="Arial"/>
          <w:b w:val="0"/>
          <w:i/>
          <w:color w:val="000000"/>
          <w:sz w:val="20"/>
          <w:u w:val="none"/>
        </w:rPr>
        <w:instrText>www</w:instrText>
      </w:r>
      <w:r w:rsidRPr="001B42BC">
        <w:rPr>
          <w:rFonts w:cs="Arial"/>
          <w:b w:val="0"/>
          <w:i/>
          <w:color w:val="000000"/>
          <w:sz w:val="20"/>
          <w:u w:val="none"/>
          <w:lang w:val="ru-RU"/>
        </w:rPr>
        <w:instrText>.</w:instrText>
      </w:r>
      <w:r w:rsidRPr="001B42BC">
        <w:rPr>
          <w:rFonts w:cs="Arial"/>
          <w:b w:val="0"/>
          <w:i/>
          <w:color w:val="000000"/>
          <w:sz w:val="20"/>
          <w:u w:val="none"/>
        </w:rPr>
        <w:instrText>congatec</w:instrText>
      </w:r>
      <w:r w:rsidRPr="001B42BC">
        <w:rPr>
          <w:rFonts w:cs="Arial"/>
          <w:b w:val="0"/>
          <w:i/>
          <w:color w:val="000000"/>
          <w:sz w:val="20"/>
          <w:u w:val="none"/>
          <w:lang w:val="ru-RU"/>
        </w:rPr>
        <w:instrText>.</w:instrText>
      </w:r>
      <w:r w:rsidRPr="001B42BC">
        <w:rPr>
          <w:rFonts w:cs="Arial"/>
          <w:b w:val="0"/>
          <w:i/>
          <w:color w:val="000000"/>
          <w:sz w:val="20"/>
          <w:u w:val="none"/>
        </w:rPr>
        <w:instrText>com</w:instrText>
      </w:r>
      <w:r w:rsidRPr="001B42BC">
        <w:rPr>
          <w:rFonts w:cs="Arial"/>
          <w:b w:val="0"/>
          <w:i/>
          <w:color w:val="000000"/>
          <w:sz w:val="20"/>
          <w:u w:val="none"/>
          <w:lang w:val="ru-RU"/>
        </w:rPr>
        <w:instrText>/</w:instrText>
      </w:r>
      <w:r w:rsidRPr="001B42BC">
        <w:rPr>
          <w:rFonts w:cs="Arial"/>
          <w:b w:val="0"/>
          <w:i/>
          <w:color w:val="000000"/>
          <w:sz w:val="20"/>
          <w:u w:val="none"/>
        </w:rPr>
        <w:instrText>press</w:instrText>
      </w:r>
      <w:r w:rsidRPr="001B42BC">
        <w:rPr>
          <w:rFonts w:cs="Arial"/>
          <w:b w:val="0"/>
          <w:i/>
          <w:color w:val="000000"/>
          <w:sz w:val="20"/>
          <w:u w:val="none"/>
          <w:lang w:val="ru-RU"/>
        </w:rPr>
        <w:instrText xml:space="preserve">" </w:instrText>
      </w:r>
      <w:r w:rsidRPr="001B42BC">
        <w:rPr>
          <w:rFonts w:cs="Arial"/>
          <w:b w:val="0"/>
          <w:i/>
          <w:color w:val="000000"/>
          <w:sz w:val="20"/>
          <w:u w:val="none"/>
        </w:rPr>
        <w:fldChar w:fldCharType="separate"/>
      </w:r>
      <w:r w:rsidRPr="001B42BC">
        <w:rPr>
          <w:rStyle w:val="Hyperlink"/>
          <w:rFonts w:cs="Arial"/>
          <w:b w:val="0"/>
          <w:i/>
          <w:iCs/>
          <w:color w:val="000000"/>
          <w:sz w:val="20"/>
          <w:u w:val="none"/>
        </w:rPr>
        <w:t>http</w:t>
      </w:r>
      <w:r w:rsidRPr="001B42BC">
        <w:rPr>
          <w:rStyle w:val="Hyperlink"/>
          <w:rFonts w:cs="Arial"/>
          <w:b w:val="0"/>
          <w:i/>
          <w:iCs/>
          <w:color w:val="000000"/>
          <w:sz w:val="20"/>
          <w:u w:val="none"/>
          <w:lang w:val="ru-RU"/>
        </w:rPr>
        <w:t>://</w:t>
      </w:r>
      <w:r w:rsidRPr="001B42BC">
        <w:rPr>
          <w:rStyle w:val="Hyperlink"/>
          <w:rFonts w:cs="Arial"/>
          <w:b w:val="0"/>
          <w:i/>
          <w:iCs/>
          <w:color w:val="000000"/>
          <w:sz w:val="20"/>
          <w:u w:val="none"/>
        </w:rPr>
        <w:t>www</w:t>
      </w:r>
      <w:r w:rsidRPr="001B42BC">
        <w:rPr>
          <w:rStyle w:val="Hyperlink"/>
          <w:rFonts w:cs="Arial"/>
          <w:b w:val="0"/>
          <w:i/>
          <w:iCs/>
          <w:color w:val="000000"/>
          <w:sz w:val="20"/>
          <w:u w:val="none"/>
          <w:lang w:val="ru-RU"/>
        </w:rPr>
        <w:t>.</w:t>
      </w:r>
      <w:r w:rsidRPr="001B42BC">
        <w:rPr>
          <w:rStyle w:val="Hyperlink"/>
          <w:rFonts w:cs="Arial"/>
          <w:b w:val="0"/>
          <w:i/>
          <w:iCs/>
          <w:color w:val="000000"/>
          <w:sz w:val="20"/>
          <w:u w:val="none"/>
        </w:rPr>
        <w:t>congatec</w:t>
      </w:r>
      <w:r w:rsidRPr="001B42BC">
        <w:rPr>
          <w:rStyle w:val="Hyperlink"/>
          <w:rFonts w:cs="Arial"/>
          <w:b w:val="0"/>
          <w:i/>
          <w:iCs/>
          <w:color w:val="000000"/>
          <w:sz w:val="20"/>
          <w:u w:val="none"/>
          <w:lang w:val="ru-RU"/>
        </w:rPr>
        <w:t>.</w:t>
      </w:r>
      <w:r w:rsidRPr="001B42BC">
        <w:rPr>
          <w:rStyle w:val="Hyperlink"/>
          <w:rFonts w:cs="Arial"/>
          <w:b w:val="0"/>
          <w:i/>
          <w:iCs/>
          <w:color w:val="000000"/>
          <w:sz w:val="20"/>
          <w:u w:val="none"/>
        </w:rPr>
        <w:t>com</w:t>
      </w:r>
      <w:r w:rsidRPr="001B42BC">
        <w:rPr>
          <w:rStyle w:val="Hyperlink"/>
          <w:rFonts w:cs="Arial"/>
          <w:b w:val="0"/>
          <w:i/>
          <w:iCs/>
          <w:color w:val="000000"/>
          <w:sz w:val="20"/>
          <w:u w:val="none"/>
          <w:lang w:val="ru-RU"/>
        </w:rPr>
        <w:t>/</w:t>
      </w:r>
      <w:r w:rsidRPr="001B42BC">
        <w:rPr>
          <w:rStyle w:val="Hyperlink"/>
          <w:rFonts w:cs="Arial"/>
          <w:b w:val="0"/>
          <w:i/>
          <w:iCs/>
          <w:color w:val="000000"/>
          <w:sz w:val="20"/>
          <w:u w:val="none"/>
        </w:rPr>
        <w:t>press</w:t>
      </w:r>
      <w:r w:rsidRPr="001B42BC">
        <w:rPr>
          <w:rFonts w:cs="Arial"/>
          <w:b w:val="0"/>
          <w:i/>
          <w:color w:val="000000"/>
          <w:sz w:val="20"/>
          <w:u w:val="none"/>
          <w:lang w:val="en-GB"/>
        </w:rPr>
        <w:fldChar w:fldCharType="end"/>
      </w:r>
    </w:p>
    <w:p w:rsidR="00EC47A8" w:rsidRPr="001B42BC" w:rsidRDefault="006A7FD9" w:rsidP="006A7FD9">
      <w:pPr>
        <w:spacing w:after="120"/>
        <w:rPr>
          <w:rFonts w:ascii="Arial" w:hAnsi="Arial" w:cs="Arial"/>
          <w:b/>
          <w:sz w:val="20"/>
          <w:szCs w:val="20"/>
          <w:u w:val="single"/>
          <w:lang w:val="ru-RU"/>
        </w:rPr>
      </w:pPr>
      <w:r w:rsidRPr="001B42BC">
        <w:rPr>
          <w:rFonts w:ascii="Arial" w:hAnsi="Arial" w:cs="Arial"/>
          <w:b/>
          <w:i/>
          <w:color w:val="000000"/>
          <w:sz w:val="20"/>
          <w:szCs w:val="20"/>
          <w:lang w:val="ru-RU"/>
        </w:rPr>
        <w:t xml:space="preserve">Видео доступно на </w:t>
      </w:r>
      <w:r w:rsidRPr="001B42BC">
        <w:rPr>
          <w:rFonts w:ascii="Arial" w:hAnsi="Arial" w:cs="Arial"/>
          <w:b/>
          <w:i/>
          <w:color w:val="000000"/>
          <w:sz w:val="20"/>
          <w:szCs w:val="20"/>
          <w:lang w:eastAsia="de-DE"/>
        </w:rPr>
        <w:fldChar w:fldCharType="begin"/>
      </w:r>
      <w:r w:rsidRPr="001B42BC">
        <w:rPr>
          <w:rFonts w:ascii="Arial" w:hAnsi="Arial" w:cs="Arial"/>
          <w:b/>
          <w:i/>
          <w:color w:val="000000"/>
          <w:sz w:val="20"/>
          <w:szCs w:val="20"/>
          <w:lang w:val="ru-RU" w:eastAsia="de-DE"/>
        </w:rPr>
        <w:instrText xml:space="preserve"> </w:instrText>
      </w:r>
      <w:r w:rsidRPr="001B42BC">
        <w:rPr>
          <w:rFonts w:ascii="Arial" w:hAnsi="Arial" w:cs="Arial"/>
          <w:b/>
          <w:i/>
          <w:color w:val="000000"/>
          <w:sz w:val="20"/>
          <w:szCs w:val="20"/>
          <w:lang w:val="en-US" w:eastAsia="de-DE"/>
        </w:rPr>
        <w:instrText>HYPERLINK</w:instrText>
      </w:r>
      <w:r w:rsidRPr="001B42BC">
        <w:rPr>
          <w:rFonts w:ascii="Arial" w:hAnsi="Arial" w:cs="Arial"/>
          <w:b/>
          <w:i/>
          <w:color w:val="000000"/>
          <w:sz w:val="20"/>
          <w:szCs w:val="20"/>
          <w:lang w:val="ru-RU" w:eastAsia="de-DE"/>
        </w:rPr>
        <w:instrText xml:space="preserve"> "</w:instrText>
      </w:r>
      <w:r w:rsidRPr="001B42BC">
        <w:rPr>
          <w:rFonts w:ascii="Arial" w:hAnsi="Arial" w:cs="Arial"/>
          <w:b/>
          <w:i/>
          <w:color w:val="000000"/>
          <w:sz w:val="20"/>
          <w:szCs w:val="20"/>
          <w:lang w:val="en-US" w:eastAsia="de-DE"/>
        </w:rPr>
        <w:instrText>http</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www</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congatec</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com</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conga</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IGX</w:instrText>
      </w:r>
      <w:r w:rsidRPr="001B42BC">
        <w:rPr>
          <w:rFonts w:ascii="Arial" w:hAnsi="Arial" w:cs="Arial"/>
          <w:b/>
          <w:i/>
          <w:color w:val="000000"/>
          <w:sz w:val="20"/>
          <w:szCs w:val="20"/>
          <w:lang w:val="ru-RU" w:eastAsia="de-DE"/>
        </w:rPr>
        <w:instrText>-</w:instrText>
      </w:r>
      <w:r w:rsidRPr="001B42BC">
        <w:rPr>
          <w:rFonts w:ascii="Arial" w:hAnsi="Arial" w:cs="Arial"/>
          <w:b/>
          <w:i/>
          <w:color w:val="000000"/>
          <w:sz w:val="20"/>
          <w:szCs w:val="20"/>
          <w:lang w:val="en-US" w:eastAsia="de-DE"/>
        </w:rPr>
        <w:instrText>pressvideo</w:instrText>
      </w:r>
      <w:r w:rsidRPr="001B42BC">
        <w:rPr>
          <w:rFonts w:ascii="Arial" w:hAnsi="Arial" w:cs="Arial"/>
          <w:b/>
          <w:i/>
          <w:color w:val="000000"/>
          <w:sz w:val="20"/>
          <w:szCs w:val="20"/>
          <w:lang w:val="ru-RU" w:eastAsia="de-DE"/>
        </w:rPr>
        <w:instrText xml:space="preserve">" </w:instrText>
      </w:r>
      <w:r w:rsidRPr="001B42BC">
        <w:rPr>
          <w:rFonts w:ascii="Arial" w:hAnsi="Arial" w:cs="Arial"/>
          <w:b/>
          <w:i/>
          <w:color w:val="000000"/>
          <w:sz w:val="20"/>
          <w:szCs w:val="20"/>
          <w:lang w:eastAsia="de-DE"/>
        </w:rPr>
        <w:fldChar w:fldCharType="separate"/>
      </w:r>
      <w:r w:rsidRPr="001B42BC">
        <w:rPr>
          <w:rStyle w:val="Hyperlink"/>
          <w:rFonts w:ascii="Arial" w:hAnsi="Arial" w:cs="Arial"/>
          <w:b/>
          <w:i/>
          <w:color w:val="000000"/>
          <w:sz w:val="20"/>
          <w:szCs w:val="20"/>
          <w:lang w:val="en-US" w:eastAsia="de-DE"/>
        </w:rPr>
        <w:t>www</w:t>
      </w:r>
      <w:r w:rsidRPr="001B42BC">
        <w:rPr>
          <w:rStyle w:val="Hyperlink"/>
          <w:rFonts w:ascii="Arial" w:hAnsi="Arial" w:cs="Arial"/>
          <w:b/>
          <w:i/>
          <w:color w:val="000000"/>
          <w:sz w:val="20"/>
          <w:szCs w:val="20"/>
          <w:lang w:val="ru-RU" w:eastAsia="de-DE"/>
        </w:rPr>
        <w:t>.</w:t>
      </w:r>
      <w:proofErr w:type="spellStart"/>
      <w:r w:rsidRPr="001B42BC">
        <w:rPr>
          <w:rStyle w:val="Hyperlink"/>
          <w:rFonts w:ascii="Arial" w:hAnsi="Arial" w:cs="Arial"/>
          <w:b/>
          <w:i/>
          <w:color w:val="000000"/>
          <w:sz w:val="20"/>
          <w:szCs w:val="20"/>
          <w:lang w:val="en-US" w:eastAsia="de-DE"/>
        </w:rPr>
        <w:t>congatec</w:t>
      </w:r>
      <w:proofErr w:type="spellEnd"/>
      <w:r w:rsidRPr="001B42BC">
        <w:rPr>
          <w:rStyle w:val="Hyperlink"/>
          <w:rFonts w:ascii="Arial" w:hAnsi="Arial" w:cs="Arial"/>
          <w:b/>
          <w:i/>
          <w:color w:val="000000"/>
          <w:sz w:val="20"/>
          <w:szCs w:val="20"/>
          <w:lang w:val="ru-RU" w:eastAsia="de-DE"/>
        </w:rPr>
        <w:t>.</w:t>
      </w:r>
      <w:r w:rsidRPr="001B42BC">
        <w:rPr>
          <w:rStyle w:val="Hyperlink"/>
          <w:rFonts w:ascii="Arial" w:hAnsi="Arial" w:cs="Arial"/>
          <w:b/>
          <w:i/>
          <w:color w:val="000000"/>
          <w:sz w:val="20"/>
          <w:szCs w:val="20"/>
          <w:lang w:val="en-US" w:eastAsia="de-DE"/>
        </w:rPr>
        <w:t>com</w:t>
      </w:r>
      <w:r w:rsidRPr="001B42BC">
        <w:rPr>
          <w:rStyle w:val="Hyperlink"/>
          <w:rFonts w:ascii="Arial" w:hAnsi="Arial" w:cs="Arial"/>
          <w:b/>
          <w:i/>
          <w:color w:val="000000"/>
          <w:sz w:val="20"/>
          <w:szCs w:val="20"/>
          <w:lang w:val="ru-RU" w:eastAsia="de-DE"/>
        </w:rPr>
        <w:t>/</w:t>
      </w:r>
      <w:r w:rsidRPr="001B42BC">
        <w:rPr>
          <w:rStyle w:val="Hyperlink"/>
          <w:rFonts w:ascii="Arial" w:hAnsi="Arial" w:cs="Arial"/>
          <w:b/>
          <w:i/>
          <w:color w:val="000000"/>
          <w:sz w:val="20"/>
          <w:szCs w:val="20"/>
          <w:lang w:val="en-US" w:eastAsia="de-DE"/>
        </w:rPr>
        <w:t>conga</w:t>
      </w:r>
      <w:r w:rsidRPr="001B42BC">
        <w:rPr>
          <w:rStyle w:val="Hyperlink"/>
          <w:rFonts w:ascii="Arial" w:hAnsi="Arial" w:cs="Arial"/>
          <w:b/>
          <w:i/>
          <w:color w:val="000000"/>
          <w:sz w:val="20"/>
          <w:szCs w:val="20"/>
          <w:lang w:val="ru-RU" w:eastAsia="de-DE"/>
        </w:rPr>
        <w:t>-</w:t>
      </w:r>
      <w:r w:rsidRPr="001B42BC">
        <w:rPr>
          <w:rStyle w:val="Hyperlink"/>
          <w:rFonts w:ascii="Arial" w:hAnsi="Arial" w:cs="Arial"/>
          <w:b/>
          <w:i/>
          <w:color w:val="000000"/>
          <w:sz w:val="20"/>
          <w:szCs w:val="20"/>
          <w:lang w:val="en-US" w:eastAsia="de-DE"/>
        </w:rPr>
        <w:t>IGX</w:t>
      </w:r>
      <w:r w:rsidRPr="001B42BC">
        <w:rPr>
          <w:rStyle w:val="Hyperlink"/>
          <w:rFonts w:ascii="Arial" w:hAnsi="Arial" w:cs="Arial"/>
          <w:b/>
          <w:i/>
          <w:color w:val="000000"/>
          <w:sz w:val="20"/>
          <w:szCs w:val="20"/>
          <w:lang w:val="ru-RU" w:eastAsia="de-DE"/>
        </w:rPr>
        <w:t>-</w:t>
      </w:r>
      <w:proofErr w:type="spellStart"/>
      <w:r w:rsidRPr="001B42BC">
        <w:rPr>
          <w:rStyle w:val="Hyperlink"/>
          <w:rFonts w:ascii="Arial" w:hAnsi="Arial" w:cs="Arial"/>
          <w:b/>
          <w:i/>
          <w:color w:val="000000"/>
          <w:sz w:val="20"/>
          <w:szCs w:val="20"/>
          <w:lang w:val="en-US" w:eastAsia="de-DE"/>
        </w:rPr>
        <w:t>pressvideo</w:t>
      </w:r>
      <w:proofErr w:type="spellEnd"/>
      <w:r w:rsidRPr="001B42BC">
        <w:rPr>
          <w:rFonts w:ascii="Arial" w:hAnsi="Arial" w:cs="Arial"/>
          <w:b/>
          <w:i/>
          <w:color w:val="000000"/>
          <w:sz w:val="20"/>
          <w:szCs w:val="20"/>
          <w:lang w:eastAsia="de-DE"/>
        </w:rPr>
        <w:fldChar w:fldCharType="end"/>
      </w:r>
    </w:p>
    <w:p w:rsidR="00A95BFF" w:rsidRPr="006C4A69" w:rsidRDefault="00D62FA2" w:rsidP="00A95BFF">
      <w:pPr>
        <w:pStyle w:val="Pressemitteilung"/>
        <w:rPr>
          <w:rFonts w:eastAsia="Hind107 Light"/>
          <w:lang w:val="ru-RU"/>
        </w:rPr>
      </w:pPr>
      <w:r>
        <w:rPr>
          <w:rFonts w:eastAsia="Hind107 Light"/>
          <w:lang w:val="ru-RU"/>
        </w:rPr>
        <w:t>Пресс релиз</w:t>
      </w:r>
    </w:p>
    <w:p w:rsidR="00D108AC" w:rsidRPr="00C90E46" w:rsidRDefault="00D108AC" w:rsidP="007D5195">
      <w:pPr>
        <w:jc w:val="right"/>
        <w:rPr>
          <w:rFonts w:ascii="Arial" w:hAnsi="Arial" w:cs="Arial"/>
          <w:kern w:val="2"/>
          <w:sz w:val="22"/>
          <w:szCs w:val="22"/>
          <w:lang w:val="ru-RU"/>
        </w:rPr>
      </w:pPr>
    </w:p>
    <w:p w:rsidR="006C4A69" w:rsidRPr="001B42BC" w:rsidRDefault="006C4A69" w:rsidP="006C4A69">
      <w:pPr>
        <w:pStyle w:val="Textkrper"/>
        <w:jc w:val="center"/>
        <w:rPr>
          <w:rFonts w:ascii="Arial" w:hAnsi="Arial" w:cs="Arial"/>
          <w:b/>
          <w:sz w:val="28"/>
          <w:szCs w:val="28"/>
          <w:lang w:val="ru-RU"/>
        </w:rPr>
      </w:pPr>
      <w:r w:rsidRPr="001B42BC">
        <w:rPr>
          <w:rFonts w:ascii="Arial" w:hAnsi="Arial" w:cs="Arial"/>
          <w:b/>
          <w:sz w:val="28"/>
          <w:szCs w:val="28"/>
          <w:lang w:val="ru-RU"/>
        </w:rPr>
        <w:t xml:space="preserve">Компания </w:t>
      </w:r>
      <w:r w:rsidRPr="001B42BC">
        <w:rPr>
          <w:rFonts w:ascii="Arial" w:hAnsi="Arial" w:cs="Arial"/>
          <w:b/>
          <w:sz w:val="28"/>
          <w:szCs w:val="28"/>
          <w:lang w:val="en-GB"/>
        </w:rPr>
        <w:t>congatec</w:t>
      </w:r>
      <w:r w:rsidRPr="001B42BC">
        <w:rPr>
          <w:rFonts w:ascii="Arial" w:hAnsi="Arial" w:cs="Arial"/>
          <w:b/>
          <w:sz w:val="28"/>
          <w:szCs w:val="28"/>
          <w:lang w:val="ru-RU"/>
        </w:rPr>
        <w:t xml:space="preserve"> добавляет в свой ассортимент продукции новые материнские платы </w:t>
      </w:r>
      <w:r w:rsidRPr="001B42BC">
        <w:rPr>
          <w:rFonts w:ascii="Arial" w:hAnsi="Arial" w:cs="Arial"/>
          <w:b/>
          <w:sz w:val="28"/>
          <w:szCs w:val="28"/>
          <w:lang w:val="en-GB"/>
        </w:rPr>
        <w:t>AMD</w:t>
      </w:r>
      <w:r w:rsidRPr="001B42BC">
        <w:rPr>
          <w:rFonts w:ascii="Arial" w:hAnsi="Arial" w:cs="Arial"/>
          <w:b/>
          <w:sz w:val="28"/>
          <w:szCs w:val="28"/>
          <w:lang w:val="ru-RU"/>
        </w:rPr>
        <w:t xml:space="preserve"> </w:t>
      </w:r>
      <w:r w:rsidRPr="001B42BC">
        <w:rPr>
          <w:rFonts w:ascii="Arial" w:hAnsi="Arial" w:cs="Arial"/>
          <w:b/>
          <w:sz w:val="28"/>
          <w:szCs w:val="28"/>
          <w:lang w:val="en-GB"/>
        </w:rPr>
        <w:t>G</w:t>
      </w:r>
      <w:r w:rsidRPr="001B42BC">
        <w:rPr>
          <w:rFonts w:ascii="Arial" w:hAnsi="Arial" w:cs="Arial"/>
          <w:b/>
          <w:sz w:val="28"/>
          <w:szCs w:val="28"/>
          <w:lang w:val="ru-RU"/>
        </w:rPr>
        <w:t>-</w:t>
      </w:r>
      <w:r w:rsidRPr="001B42BC">
        <w:rPr>
          <w:rFonts w:ascii="Arial" w:hAnsi="Arial" w:cs="Arial"/>
          <w:b/>
          <w:sz w:val="28"/>
          <w:szCs w:val="28"/>
          <w:lang w:val="en-GB"/>
        </w:rPr>
        <w:t>Series</w:t>
      </w:r>
    </w:p>
    <w:p w:rsidR="006C4A69" w:rsidRPr="002A4DD0" w:rsidRDefault="006C4A69" w:rsidP="006C4A69">
      <w:pPr>
        <w:jc w:val="center"/>
        <w:rPr>
          <w:rFonts w:ascii="Arial" w:hAnsi="Arial" w:cs="Arial"/>
          <w:iCs/>
          <w:sz w:val="28"/>
          <w:szCs w:val="28"/>
          <w:lang w:val="ru-RU"/>
        </w:rPr>
      </w:pPr>
    </w:p>
    <w:p w:rsidR="006C4A69" w:rsidRPr="001B42BC" w:rsidRDefault="006C4A69" w:rsidP="006C4A69">
      <w:pPr>
        <w:jc w:val="center"/>
        <w:rPr>
          <w:rFonts w:ascii="Arial" w:hAnsi="Arial" w:cs="Arial"/>
          <w:iCs/>
          <w:lang w:val="ru-RU"/>
        </w:rPr>
      </w:pPr>
      <w:r w:rsidRPr="001B42BC">
        <w:rPr>
          <w:rFonts w:ascii="Arial" w:hAnsi="Arial" w:cs="Arial"/>
          <w:iCs/>
          <w:lang w:val="ru-RU"/>
        </w:rPr>
        <w:t xml:space="preserve">Платы форм-фактора </w:t>
      </w:r>
      <w:r w:rsidRPr="001B42BC">
        <w:rPr>
          <w:rFonts w:ascii="Arial" w:hAnsi="Arial" w:cs="Arial"/>
          <w:iCs/>
          <w:lang w:val="en-GB"/>
        </w:rPr>
        <w:t>Mini</w:t>
      </w:r>
      <w:r w:rsidRPr="001B42BC">
        <w:rPr>
          <w:rFonts w:ascii="Arial" w:hAnsi="Arial" w:cs="Arial"/>
          <w:iCs/>
          <w:lang w:val="ru-RU"/>
        </w:rPr>
        <w:t>-</w:t>
      </w:r>
      <w:r w:rsidRPr="001B42BC">
        <w:rPr>
          <w:rFonts w:ascii="Arial" w:hAnsi="Arial" w:cs="Arial"/>
          <w:iCs/>
          <w:lang w:val="en-GB"/>
        </w:rPr>
        <w:t>ITX</w:t>
      </w:r>
      <w:r w:rsidRPr="001B42BC">
        <w:rPr>
          <w:rFonts w:ascii="Arial" w:hAnsi="Arial" w:cs="Arial"/>
          <w:iCs/>
          <w:lang w:val="ru-RU"/>
        </w:rPr>
        <w:t xml:space="preserve"> с конфигурируемой </w:t>
      </w:r>
      <w:r w:rsidRPr="001B42BC">
        <w:rPr>
          <w:rFonts w:ascii="Arial" w:hAnsi="Arial" w:cs="Arial"/>
          <w:iCs/>
          <w:lang w:val="en-GB"/>
        </w:rPr>
        <w:t>TDP</w:t>
      </w:r>
      <w:r w:rsidRPr="001B42BC">
        <w:rPr>
          <w:rFonts w:ascii="Arial" w:hAnsi="Arial" w:cs="Arial"/>
          <w:iCs/>
          <w:lang w:val="ru-RU"/>
        </w:rPr>
        <w:t xml:space="preserve"> для разработки систем индустриального класса, требующих широких графическими возможностями при малой собственной потребляемой мощности, выполнены на базе </w:t>
      </w:r>
      <w:r w:rsidRPr="001B42BC">
        <w:rPr>
          <w:rFonts w:ascii="Arial" w:hAnsi="Arial" w:cs="Arial"/>
          <w:iCs/>
          <w:lang w:val="en-GB"/>
        </w:rPr>
        <w:t>SoC</w:t>
      </w:r>
      <w:r w:rsidRPr="001B42BC">
        <w:rPr>
          <w:rFonts w:ascii="Arial" w:hAnsi="Arial" w:cs="Arial"/>
          <w:iCs/>
          <w:lang w:val="ru-RU"/>
        </w:rPr>
        <w:t xml:space="preserve"> с интегрированной графикой </w:t>
      </w:r>
      <w:r w:rsidRPr="001B42BC">
        <w:rPr>
          <w:rFonts w:ascii="Arial" w:hAnsi="Arial" w:cs="Arial"/>
          <w:iCs/>
          <w:lang w:val="en-GB"/>
        </w:rPr>
        <w:t>AMD</w:t>
      </w:r>
      <w:r w:rsidRPr="001B42BC">
        <w:rPr>
          <w:rFonts w:ascii="Arial" w:hAnsi="Arial" w:cs="Arial"/>
          <w:iCs/>
          <w:lang w:val="ru-RU"/>
        </w:rPr>
        <w:t xml:space="preserve"> </w:t>
      </w:r>
      <w:r w:rsidRPr="001B42BC">
        <w:rPr>
          <w:rFonts w:ascii="Arial" w:hAnsi="Arial" w:cs="Arial"/>
          <w:iCs/>
          <w:lang w:val="en-GB"/>
        </w:rPr>
        <w:t>Radeon</w:t>
      </w:r>
    </w:p>
    <w:p w:rsidR="003C5916" w:rsidRPr="000F05F1" w:rsidRDefault="003C5916" w:rsidP="007D5195">
      <w:pPr>
        <w:jc w:val="center"/>
        <w:rPr>
          <w:rFonts w:ascii="Arial" w:hAnsi="Arial" w:cs="Arial"/>
          <w:b/>
          <w:sz w:val="22"/>
          <w:szCs w:val="22"/>
          <w:lang w:val="ru-RU"/>
        </w:rPr>
      </w:pPr>
    </w:p>
    <w:p w:rsidR="00C962A6" w:rsidRPr="001B42BC" w:rsidRDefault="00C962A6" w:rsidP="00C962A6">
      <w:pPr>
        <w:rPr>
          <w:rFonts w:ascii="Arial" w:hAnsi="Arial" w:cs="Arial"/>
          <w:sz w:val="22"/>
          <w:szCs w:val="22"/>
          <w:lang w:val="ru-RU"/>
        </w:rPr>
      </w:pPr>
      <w:r w:rsidRPr="001B42BC">
        <w:rPr>
          <w:rFonts w:ascii="Arial" w:hAnsi="Arial" w:cs="Arial"/>
          <w:b/>
          <w:bCs/>
          <w:sz w:val="22"/>
          <w:szCs w:val="22"/>
          <w:lang w:val="ru-RU"/>
        </w:rPr>
        <w:t>Деггендорф, Германия 21 Июля, 2015.</w:t>
      </w:r>
      <w:r w:rsidRPr="001B42BC">
        <w:rPr>
          <w:rFonts w:ascii="Arial" w:hAnsi="Arial" w:cs="Arial"/>
          <w:sz w:val="22"/>
          <w:szCs w:val="22"/>
          <w:lang w:val="ru-RU"/>
        </w:rPr>
        <w:t>:</w:t>
      </w: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t xml:space="preserve">Компания congatec AG, являющаяся лидером в области встраиваемых компьютерных модулей, одноплатных компьютеров SBC (англ. SBC - single board computer), встраиваемых решений и решений для нужд производства EDM (англ. EDM - embedded design and manufacturing), анонсировала расширение номенклатуры материнских плат индустриального применения форм-фактора Mini-ITX, добавлением двух высокопроизводительных плат варианта conga-IGX со сверхмалой потребляемой мощностью, выполненных на базе Gen 2 AMD Embedded G-Series SoC процессора (микроархитектура "Steppe Eagle") и мощной SoC (англ. SoC - </w:t>
      </w:r>
      <w:r w:rsidRPr="001B42BC">
        <w:rPr>
          <w:rFonts w:ascii="Arial" w:hAnsi="Arial" w:cs="Arial"/>
          <w:iCs/>
          <w:sz w:val="22"/>
          <w:szCs w:val="22"/>
          <w:lang w:val="ru-RU"/>
        </w:rPr>
        <w:t xml:space="preserve">System-on-a-Chip, </w:t>
      </w:r>
      <w:r w:rsidRPr="001B42BC">
        <w:rPr>
          <w:rFonts w:ascii="Arial" w:hAnsi="Arial" w:cs="Arial"/>
          <w:sz w:val="22"/>
          <w:szCs w:val="22"/>
          <w:lang w:val="ru-RU"/>
        </w:rPr>
        <w:t>архитектура системы на кристалле) интегрированной графики AMD Radeon.</w:t>
      </w:r>
    </w:p>
    <w:p w:rsidR="00C962A6" w:rsidRPr="001B42BC" w:rsidRDefault="00C962A6" w:rsidP="00C962A6">
      <w:pPr>
        <w:rPr>
          <w:rFonts w:ascii="Arial" w:hAnsi="Arial" w:cs="Arial"/>
          <w:sz w:val="22"/>
          <w:szCs w:val="22"/>
          <w:lang w:val="ru-RU"/>
        </w:rPr>
      </w:pP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t>Новые материнские платы с низким энергопотреблением отличаются широким масштабированием мощности при максимальной нагрузке TDP (англ. TDP - thermal design power) в пределах между 5 и 15 Вт макс. Возможности мощной графики AMD Radeon, среди других преимуществ, обеспечивают поддержку до двух независимых дисплеев и разрешением до 4k (3840 х 2160 пикселей). Особенно эффективной особенностью данных плат является конфигурируемая TDP, что позволяет оптимизировать охлаждение платы, ее питание и все затраты на систему в целом в зависимости от области ее конкретного применения.</w:t>
      </w:r>
    </w:p>
    <w:p w:rsidR="00C962A6" w:rsidRPr="001B42BC" w:rsidRDefault="00C962A6" w:rsidP="00C962A6">
      <w:pPr>
        <w:spacing w:line="360" w:lineRule="auto"/>
        <w:rPr>
          <w:rFonts w:ascii="Arial" w:hAnsi="Arial" w:cs="Arial"/>
          <w:sz w:val="22"/>
          <w:szCs w:val="22"/>
          <w:lang w:val="ru-RU"/>
        </w:rPr>
      </w:pP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lastRenderedPageBreak/>
        <w:t>Как и все другие материнские платы форм-фактора Mini-ITX компании congatec, новые платы с процессором Gen 2 AMD Embedded G-Series SoC отличаются конструкцией адаптированной к индустриальному классу их применения. Это выполнено, как на уровне выбора компонентов и разводки печатных плат для обеспечения максимальной надежности, так и в поддержке ввода/вывода (I/O), Интернета вещей IoT (англ. IoT - Internet of Things), драйверов и особенностей, облегчающих использования плат для проектирования конечных систем, гибким размеров партии в поставке плат и долгосрочной их доступности, которая в случае плат conga-IGX Mini-ITX гарантируется в 7 лет.</w:t>
      </w:r>
    </w:p>
    <w:p w:rsidR="00C962A6" w:rsidRPr="001B42BC" w:rsidRDefault="00C962A6" w:rsidP="00C962A6">
      <w:pPr>
        <w:spacing w:line="360" w:lineRule="auto"/>
        <w:rPr>
          <w:rFonts w:ascii="Arial" w:hAnsi="Arial" w:cs="Arial"/>
          <w:sz w:val="22"/>
          <w:szCs w:val="22"/>
          <w:lang w:val="ru-RU"/>
        </w:rPr>
      </w:pP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t xml:space="preserve">Новые материнские платы Mini-ITX предназначены в основном для использования в малобюджетных приложениях с низким энергопотреблением, которым нужна мощная качественная графика. Компания congatec ожидает, что эти новые платы найдут свое применение в широком диапазоне приложений, использующих встроенную компьютерную технику, таких как: розничная торговля,  реклама/информационные панели и игры, а также в качестве средств визуализации в медицинской отрасли, системах машинного зрения и промышленной автоматизации. </w:t>
      </w:r>
    </w:p>
    <w:p w:rsidR="00C962A6" w:rsidRPr="001B42BC" w:rsidRDefault="00C962A6" w:rsidP="00C962A6">
      <w:pPr>
        <w:spacing w:line="360" w:lineRule="auto"/>
        <w:rPr>
          <w:rFonts w:ascii="Arial" w:hAnsi="Arial" w:cs="Arial"/>
          <w:sz w:val="22"/>
          <w:szCs w:val="22"/>
          <w:lang w:val="ru-RU"/>
        </w:rPr>
      </w:pPr>
    </w:p>
    <w:p w:rsidR="00C962A6" w:rsidRPr="001B42BC" w:rsidRDefault="00C962A6" w:rsidP="00C962A6">
      <w:pPr>
        <w:pStyle w:val="Standard2"/>
        <w:spacing w:line="360" w:lineRule="auto"/>
        <w:rPr>
          <w:rFonts w:ascii="Arial" w:eastAsia="Hind107 Light" w:hAnsi="Arial" w:cs="Arial"/>
          <w:b/>
          <w:bCs/>
          <w:sz w:val="22"/>
          <w:szCs w:val="22"/>
          <w:lang w:val="ru-RU"/>
        </w:rPr>
      </w:pPr>
      <w:r w:rsidRPr="001B42BC">
        <w:rPr>
          <w:rFonts w:ascii="Arial" w:eastAsia="Hind107 Light" w:hAnsi="Arial" w:cs="Arial"/>
          <w:b/>
          <w:bCs/>
          <w:sz w:val="22"/>
          <w:szCs w:val="22"/>
          <w:lang w:val="ru-RU"/>
        </w:rPr>
        <w:t>Основные функциональные особенности</w:t>
      </w: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t>Новые материнские платы на процессоре Gen 2 AMD Embedded G-Series SoC, доступны в виде мощного 2,2 ГГц двухъядерного варианта (10/15 Вт макс. с конфигурируемой TDP) или на базе платформы 4x 1,2 ГГц четырехъядерного процессора (5/7 Вт макс. с конфигурируемой TDP), которая оптимизирована для многопроцессорных применений. Благодаря интегрированному графическому ядру следующего поколения AMD Radeon R5E/R3E, новые платы также предлагают высокую производительность при поддержке 4k графики, включая OpenGL DirectX11.1 и 4.2. При этом с помощью DisplayPort 1.2, DVI или LVDS можно одновременно и независимо осуществлять управления двумя дисплеями. Кроме этого предусмотрена в будущем поддержка OpenCL™ 1.2, что позволяет использовать GPU для обработки ресурсоемких параллельных задач быстрее и более эффективно, чем это выполняет процессор.</w:t>
      </w:r>
    </w:p>
    <w:p w:rsidR="00C962A6" w:rsidRPr="001B42BC" w:rsidRDefault="00C962A6" w:rsidP="00C962A6">
      <w:pPr>
        <w:spacing w:line="360" w:lineRule="auto"/>
        <w:rPr>
          <w:rFonts w:ascii="Arial" w:hAnsi="Arial" w:cs="Arial"/>
          <w:sz w:val="22"/>
          <w:szCs w:val="22"/>
          <w:lang w:val="ru-RU"/>
        </w:rPr>
      </w:pPr>
    </w:p>
    <w:p w:rsidR="00C962A6" w:rsidRPr="001B42BC" w:rsidRDefault="00C962A6" w:rsidP="00C962A6">
      <w:pPr>
        <w:rPr>
          <w:rFonts w:ascii="Arial" w:hAnsi="Arial" w:cs="Arial"/>
          <w:sz w:val="22"/>
          <w:szCs w:val="22"/>
          <w:lang w:val="ru-RU"/>
        </w:rPr>
      </w:pPr>
      <w:r w:rsidRPr="001B42BC">
        <w:rPr>
          <w:rFonts w:ascii="Arial" w:hAnsi="Arial" w:cs="Arial"/>
          <w:sz w:val="22"/>
          <w:szCs w:val="22"/>
          <w:lang w:val="ru-RU"/>
        </w:rPr>
        <w:t>Опции в части возможности расширения плат включают PCIe x4 слот Gen 2.0, 1x Mini PCIe, 2x USB 3.0, и 6x USB 2.0. Специальный разъем для широкодоступных USB-накопителей позволяет реализовать недорогие и легкий расширяемые решения с добавление беспроводных коммуникаций типа WLAN, мобильной связи или реализовать механизмы безопасности (ключи). Для реализации взаимообмена в технологии Интернет вещей, платы имеют 2x Gigabit LAN. Два последовательных порта плюс к ним порты PS/2 для клавиатуры и мыши, подчеркивают область применения новых плат conga-IGX, именно как плат индустриального класса. Набор доступных функций завершают стерео аудио входы и выходы.</w:t>
      </w:r>
    </w:p>
    <w:p w:rsidR="00C962A6" w:rsidRPr="001B42BC" w:rsidRDefault="00C962A6" w:rsidP="00C9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ru-RU"/>
        </w:rPr>
      </w:pPr>
    </w:p>
    <w:p w:rsidR="00C962A6" w:rsidRPr="001B42BC" w:rsidRDefault="00C962A6" w:rsidP="00C962A6">
      <w:pPr>
        <w:spacing w:line="360" w:lineRule="auto"/>
        <w:rPr>
          <w:rFonts w:ascii="Arial" w:hAnsi="Arial" w:cs="Arial"/>
          <w:b/>
          <w:bCs/>
          <w:color w:val="262626"/>
          <w:sz w:val="22"/>
          <w:szCs w:val="22"/>
          <w:lang w:val="ru-RU" w:eastAsia="de-DE"/>
        </w:rPr>
      </w:pPr>
      <w:r w:rsidRPr="001B42BC">
        <w:rPr>
          <w:rFonts w:ascii="Arial" w:hAnsi="Arial" w:cs="Arial"/>
          <w:b/>
          <w:sz w:val="22"/>
          <w:szCs w:val="22"/>
          <w:lang w:val="ru-RU"/>
        </w:rPr>
        <w:t>Новые процессоры</w:t>
      </w:r>
    </w:p>
    <w:tbl>
      <w:tblPr>
        <w:tblW w:w="964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1276"/>
        <w:gridCol w:w="1559"/>
        <w:gridCol w:w="1054"/>
        <w:gridCol w:w="1498"/>
        <w:gridCol w:w="1994"/>
      </w:tblGrid>
      <w:tr w:rsidR="00C962A6" w:rsidRPr="00961AF0" w:rsidTr="00393CE1">
        <w:trPr>
          <w:cantSplit/>
          <w:trHeight w:val="610"/>
        </w:trPr>
        <w:tc>
          <w:tcPr>
            <w:tcW w:w="1418"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color w:val="262626"/>
                <w:sz w:val="20"/>
                <w:szCs w:val="20"/>
                <w:u w:color="262626"/>
                <w:lang w:val="ru-RU"/>
              </w:rPr>
            </w:pPr>
            <w:r w:rsidRPr="00961AF0">
              <w:rPr>
                <w:rFonts w:ascii="Arial" w:eastAsia="Hind107 Light" w:hAnsi="Arial" w:cs="Arial"/>
                <w:b/>
                <w:bCs/>
                <w:color w:val="262626"/>
                <w:sz w:val="20"/>
                <w:szCs w:val="20"/>
                <w:u w:color="262626"/>
                <w:lang w:val="ru-RU"/>
              </w:rPr>
              <w:t>Процессор</w:t>
            </w:r>
          </w:p>
        </w:tc>
        <w:tc>
          <w:tcPr>
            <w:tcW w:w="850"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color w:val="262626"/>
                <w:sz w:val="20"/>
                <w:szCs w:val="20"/>
                <w:u w:color="262626"/>
                <w:lang w:val="ru-RU"/>
              </w:rPr>
            </w:pPr>
            <w:r w:rsidRPr="00961AF0">
              <w:rPr>
                <w:rFonts w:ascii="Arial" w:eastAsia="Hind107 Light" w:hAnsi="Arial" w:cs="Arial"/>
                <w:b/>
                <w:bCs/>
                <w:color w:val="262626"/>
                <w:sz w:val="20"/>
                <w:szCs w:val="20"/>
                <w:u w:color="262626"/>
                <w:lang w:val="ru-RU"/>
              </w:rPr>
              <w:t>Число ядер</w:t>
            </w:r>
          </w:p>
        </w:tc>
        <w:tc>
          <w:tcPr>
            <w:tcW w:w="1276"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sz w:val="20"/>
                <w:szCs w:val="20"/>
                <w:lang w:val="ru-RU"/>
              </w:rPr>
            </w:pPr>
            <w:r w:rsidRPr="00961AF0">
              <w:rPr>
                <w:rFonts w:ascii="Arial" w:eastAsia="Hind107 Light" w:hAnsi="Arial" w:cs="Arial"/>
                <w:b/>
                <w:bCs/>
                <w:sz w:val="20"/>
                <w:szCs w:val="20"/>
                <w:lang w:val="ru-RU"/>
              </w:rPr>
              <w:t>Кэш, Мб</w:t>
            </w:r>
          </w:p>
        </w:tc>
        <w:tc>
          <w:tcPr>
            <w:tcW w:w="1559"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color w:val="262626"/>
                <w:sz w:val="20"/>
                <w:szCs w:val="20"/>
                <w:u w:color="262626"/>
                <w:lang w:val="ru-RU"/>
              </w:rPr>
            </w:pPr>
            <w:r w:rsidRPr="00961AF0">
              <w:rPr>
                <w:rFonts w:ascii="Arial" w:eastAsia="Hind107 Light" w:hAnsi="Arial" w:cs="Arial"/>
                <w:b/>
                <w:bCs/>
                <w:color w:val="262626"/>
                <w:sz w:val="20"/>
                <w:szCs w:val="20"/>
                <w:u w:color="262626"/>
                <w:lang w:val="ru-RU"/>
              </w:rPr>
              <w:t>Тактовая частота, ГГц</w:t>
            </w:r>
          </w:p>
        </w:tc>
        <w:tc>
          <w:tcPr>
            <w:tcW w:w="1054"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sz w:val="20"/>
                <w:szCs w:val="20"/>
                <w:lang w:val="ru-RU"/>
              </w:rPr>
            </w:pPr>
            <w:r w:rsidRPr="00961AF0">
              <w:rPr>
                <w:rFonts w:ascii="Arial" w:eastAsia="Hind107 Light" w:hAnsi="Arial" w:cs="Arial"/>
                <w:b/>
                <w:bCs/>
                <w:sz w:val="20"/>
                <w:szCs w:val="20"/>
                <w:lang w:val="ru-RU"/>
              </w:rPr>
              <w:t>Турбо режим, ГГц</w:t>
            </w:r>
          </w:p>
        </w:tc>
        <w:tc>
          <w:tcPr>
            <w:tcW w:w="1498"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sz w:val="20"/>
                <w:szCs w:val="20"/>
                <w:lang w:val="ru-RU"/>
              </w:rPr>
            </w:pPr>
            <w:r w:rsidRPr="00961AF0">
              <w:rPr>
                <w:rFonts w:ascii="Arial" w:eastAsia="Hind107 Light" w:hAnsi="Arial" w:cs="Arial"/>
                <w:b/>
                <w:bCs/>
                <w:sz w:val="20"/>
                <w:szCs w:val="20"/>
                <w:lang w:val="ru-RU"/>
              </w:rPr>
              <w:t>TDP, Вт</w:t>
            </w:r>
          </w:p>
        </w:tc>
        <w:tc>
          <w:tcPr>
            <w:tcW w:w="1994" w:type="dxa"/>
            <w:shd w:val="clear" w:color="auto" w:fill="auto"/>
            <w:tcMar>
              <w:top w:w="80" w:type="dxa"/>
              <w:left w:w="80" w:type="dxa"/>
              <w:bottom w:w="80" w:type="dxa"/>
              <w:right w:w="80" w:type="dxa"/>
            </w:tcMar>
            <w:vAlign w:val="center"/>
          </w:tcPr>
          <w:p w:rsidR="00C962A6" w:rsidRPr="00961AF0" w:rsidRDefault="00C962A6" w:rsidP="00393CE1">
            <w:pPr>
              <w:pStyle w:val="Standard2"/>
              <w:jc w:val="center"/>
              <w:rPr>
                <w:rFonts w:ascii="Arial" w:eastAsia="Hind107 Light" w:hAnsi="Arial" w:cs="Arial"/>
                <w:b/>
                <w:bCs/>
                <w:sz w:val="20"/>
                <w:szCs w:val="20"/>
                <w:lang w:val="ru-RU"/>
              </w:rPr>
            </w:pPr>
            <w:r w:rsidRPr="00961AF0">
              <w:rPr>
                <w:rFonts w:ascii="Arial" w:eastAsia="Hind107 Light" w:hAnsi="Arial" w:cs="Arial"/>
                <w:b/>
                <w:bCs/>
                <w:sz w:val="20"/>
                <w:szCs w:val="20"/>
                <w:lang w:val="ru-RU"/>
              </w:rPr>
              <w:t>Графика</w:t>
            </w:r>
          </w:p>
        </w:tc>
      </w:tr>
      <w:tr w:rsidR="00C962A6" w:rsidRPr="00961AF0" w:rsidTr="00393CE1">
        <w:trPr>
          <w:cantSplit/>
          <w:trHeight w:val="420"/>
        </w:trPr>
        <w:tc>
          <w:tcPr>
            <w:tcW w:w="1418" w:type="dxa"/>
            <w:shd w:val="clear" w:color="auto" w:fill="auto"/>
            <w:tcMar>
              <w:top w:w="80" w:type="dxa"/>
              <w:left w:w="80" w:type="dxa"/>
              <w:bottom w:w="80" w:type="dxa"/>
              <w:right w:w="80" w:type="dxa"/>
            </w:tcMar>
            <w:vAlign w:val="center"/>
          </w:tcPr>
          <w:p w:rsidR="00C962A6" w:rsidRPr="00961AF0" w:rsidRDefault="00C962A6" w:rsidP="00393CE1">
            <w:pPr>
              <w:rPr>
                <w:rFonts w:ascii="Arial" w:hAnsi="Arial" w:cs="Arial"/>
                <w:sz w:val="20"/>
                <w:szCs w:val="20"/>
              </w:rPr>
            </w:pPr>
            <w:r w:rsidRPr="00961AF0">
              <w:rPr>
                <w:rFonts w:ascii="Arial" w:hAnsi="Arial" w:cs="Arial"/>
                <w:bCs/>
                <w:color w:val="262626"/>
                <w:sz w:val="20"/>
                <w:szCs w:val="20"/>
                <w:lang w:eastAsia="de-DE"/>
              </w:rPr>
              <w:t>GX-222GC</w:t>
            </w:r>
          </w:p>
        </w:tc>
        <w:tc>
          <w:tcPr>
            <w:tcW w:w="850"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2</w:t>
            </w:r>
          </w:p>
        </w:tc>
        <w:tc>
          <w:tcPr>
            <w:tcW w:w="1276"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1</w:t>
            </w:r>
          </w:p>
        </w:tc>
        <w:tc>
          <w:tcPr>
            <w:tcW w:w="1559"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2, 2</w:t>
            </w:r>
          </w:p>
        </w:tc>
        <w:tc>
          <w:tcPr>
            <w:tcW w:w="1054"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2,4</w:t>
            </w:r>
          </w:p>
        </w:tc>
        <w:tc>
          <w:tcPr>
            <w:tcW w:w="1498"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10 / 15 / 25</w:t>
            </w:r>
          </w:p>
        </w:tc>
        <w:tc>
          <w:tcPr>
            <w:tcW w:w="1994"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rPr>
                <w:rFonts w:ascii="Arial" w:eastAsia="Hind107 Light" w:hAnsi="Arial" w:cs="Arial"/>
                <w:bCs/>
                <w:sz w:val="20"/>
                <w:szCs w:val="20"/>
                <w:lang w:val="ru-RU"/>
              </w:rPr>
            </w:pPr>
            <w:r w:rsidRPr="00961AF0">
              <w:rPr>
                <w:rFonts w:ascii="Arial" w:hAnsi="Arial" w:cs="Arial"/>
                <w:sz w:val="20"/>
                <w:szCs w:val="20"/>
              </w:rPr>
              <w:t>AMD Radeon ™ R5E</w:t>
            </w:r>
          </w:p>
        </w:tc>
      </w:tr>
      <w:tr w:rsidR="00C962A6" w:rsidRPr="00961AF0" w:rsidTr="00393CE1">
        <w:trPr>
          <w:cantSplit/>
          <w:trHeight w:val="420"/>
        </w:trPr>
        <w:tc>
          <w:tcPr>
            <w:tcW w:w="1418" w:type="dxa"/>
            <w:shd w:val="clear" w:color="auto" w:fill="auto"/>
            <w:tcMar>
              <w:top w:w="80" w:type="dxa"/>
              <w:left w:w="80" w:type="dxa"/>
              <w:bottom w:w="80" w:type="dxa"/>
              <w:right w:w="80" w:type="dxa"/>
            </w:tcMar>
            <w:vAlign w:val="center"/>
          </w:tcPr>
          <w:p w:rsidR="00C962A6" w:rsidRPr="00961AF0" w:rsidRDefault="00C962A6" w:rsidP="00393CE1">
            <w:pPr>
              <w:rPr>
                <w:rFonts w:ascii="Arial" w:hAnsi="Arial" w:cs="Arial"/>
                <w:sz w:val="20"/>
                <w:szCs w:val="20"/>
              </w:rPr>
            </w:pPr>
            <w:r w:rsidRPr="00961AF0">
              <w:rPr>
                <w:rFonts w:ascii="Arial" w:hAnsi="Arial" w:cs="Arial"/>
                <w:sz w:val="20"/>
                <w:szCs w:val="20"/>
              </w:rPr>
              <w:lastRenderedPageBreak/>
              <w:t>GX-412HC</w:t>
            </w:r>
          </w:p>
        </w:tc>
        <w:tc>
          <w:tcPr>
            <w:tcW w:w="850"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4</w:t>
            </w:r>
          </w:p>
        </w:tc>
        <w:tc>
          <w:tcPr>
            <w:tcW w:w="1276"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1</w:t>
            </w:r>
          </w:p>
        </w:tc>
        <w:tc>
          <w:tcPr>
            <w:tcW w:w="1559"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1,2</w:t>
            </w:r>
          </w:p>
        </w:tc>
        <w:tc>
          <w:tcPr>
            <w:tcW w:w="1054"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1,6</w:t>
            </w:r>
          </w:p>
        </w:tc>
        <w:tc>
          <w:tcPr>
            <w:tcW w:w="1498"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jc w:val="center"/>
              <w:rPr>
                <w:rFonts w:ascii="Arial" w:eastAsia="Hind107 Light" w:hAnsi="Arial" w:cs="Arial"/>
                <w:bCs/>
                <w:sz w:val="20"/>
                <w:szCs w:val="20"/>
                <w:lang w:val="ru-RU"/>
              </w:rPr>
            </w:pPr>
            <w:r w:rsidRPr="00961AF0">
              <w:rPr>
                <w:rFonts w:ascii="Arial" w:eastAsia="Hind107 Light" w:hAnsi="Arial" w:cs="Arial"/>
                <w:bCs/>
                <w:sz w:val="20"/>
                <w:szCs w:val="20"/>
                <w:lang w:val="ru-RU"/>
              </w:rPr>
              <w:t>5 / 7</w:t>
            </w:r>
          </w:p>
        </w:tc>
        <w:tc>
          <w:tcPr>
            <w:tcW w:w="1994" w:type="dxa"/>
            <w:shd w:val="clear" w:color="auto" w:fill="auto"/>
            <w:tcMar>
              <w:top w:w="80" w:type="dxa"/>
              <w:left w:w="80" w:type="dxa"/>
              <w:bottom w:w="80" w:type="dxa"/>
              <w:right w:w="80" w:type="dxa"/>
            </w:tcMar>
            <w:vAlign w:val="center"/>
          </w:tcPr>
          <w:p w:rsidR="00C962A6" w:rsidRPr="00961AF0" w:rsidRDefault="00C962A6" w:rsidP="00393CE1">
            <w:pPr>
              <w:pStyle w:val="Standard2"/>
              <w:spacing w:before="120" w:after="120"/>
              <w:rPr>
                <w:rFonts w:ascii="Arial" w:eastAsia="Hind107 Light" w:hAnsi="Arial" w:cs="Arial"/>
                <w:bCs/>
                <w:sz w:val="20"/>
                <w:szCs w:val="20"/>
                <w:lang w:val="ru-RU"/>
              </w:rPr>
            </w:pPr>
            <w:r w:rsidRPr="00961AF0">
              <w:rPr>
                <w:rFonts w:ascii="Arial" w:hAnsi="Arial" w:cs="Arial"/>
                <w:sz w:val="20"/>
                <w:szCs w:val="20"/>
              </w:rPr>
              <w:t>AMD Radeon ™ R3E</w:t>
            </w:r>
          </w:p>
        </w:tc>
      </w:tr>
    </w:tbl>
    <w:p w:rsidR="00C962A6" w:rsidRPr="001B42BC" w:rsidRDefault="00C962A6" w:rsidP="00C9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p>
    <w:p w:rsidR="00D108AC" w:rsidRPr="00122B4D" w:rsidRDefault="00D108AC" w:rsidP="00D108AC">
      <w:pPr>
        <w:pStyle w:val="Standard1"/>
        <w:ind w:right="283"/>
        <w:rPr>
          <w:rFonts w:ascii="Arial" w:hAnsi="Arial" w:cs="Arial"/>
          <w:b/>
          <w:sz w:val="18"/>
          <w:szCs w:val="18"/>
          <w:lang w:val="ru-RU"/>
        </w:rPr>
      </w:pPr>
    </w:p>
    <w:p w:rsidR="003910AD" w:rsidRPr="00D551DE" w:rsidRDefault="003910AD" w:rsidP="003910AD">
      <w:pPr>
        <w:pStyle w:val="Standard1"/>
        <w:spacing w:before="120"/>
        <w:rPr>
          <w:rFonts w:ascii="Arial" w:hAnsi="Arial" w:cs="Arial"/>
          <w:sz w:val="16"/>
          <w:szCs w:val="16"/>
          <w:lang w:val="en-US"/>
        </w:rPr>
      </w:pPr>
      <w:r w:rsidRPr="00D551DE">
        <w:rPr>
          <w:rFonts w:ascii="Arial" w:hAnsi="Arial" w:cs="Arial"/>
          <w:b/>
          <w:bCs/>
          <w:sz w:val="16"/>
          <w:szCs w:val="16"/>
          <w:lang w:val="en-US"/>
        </w:rPr>
        <w:t>About congatec AG</w:t>
      </w:r>
      <w:r w:rsidRPr="00D551DE">
        <w:rPr>
          <w:rFonts w:ascii="Arial" w:hAnsi="Arial" w:cs="Arial"/>
          <w:b/>
          <w:bCs/>
          <w:sz w:val="16"/>
          <w:szCs w:val="16"/>
          <w:lang w:val="en-US"/>
        </w:rPr>
        <w:br/>
      </w:r>
      <w:r w:rsidRPr="00D551DE">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D551DE">
        <w:rPr>
          <w:rFonts w:ascii="Arial" w:hAnsi="Arial" w:cs="Arial"/>
          <w:sz w:val="16"/>
          <w:szCs w:val="16"/>
          <w:lang w:val="en-US"/>
        </w:rPr>
        <w:t>congatec’s</w:t>
      </w:r>
      <w:proofErr w:type="gramEnd"/>
      <w:r w:rsidRPr="00D551DE">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1" w:history="1">
        <w:r w:rsidRPr="00D551DE">
          <w:rPr>
            <w:rStyle w:val="Hyperlink"/>
            <w:rFonts w:ascii="Arial" w:hAnsi="Arial" w:cs="Arial"/>
            <w:sz w:val="16"/>
            <w:szCs w:val="16"/>
            <w:lang w:val="en-US"/>
          </w:rPr>
          <w:t>www.congatec.com</w:t>
        </w:r>
      </w:hyperlink>
      <w:r w:rsidRPr="00D551DE">
        <w:rPr>
          <w:rFonts w:ascii="Arial" w:hAnsi="Arial" w:cs="Arial"/>
          <w:sz w:val="16"/>
          <w:szCs w:val="16"/>
          <w:lang w:val="en-US"/>
        </w:rPr>
        <w:t xml:space="preserve"> or via </w:t>
      </w:r>
      <w:hyperlink r:id="rId12" w:history="1">
        <w:r w:rsidRPr="00D551DE">
          <w:rPr>
            <w:rStyle w:val="Hyperlink"/>
            <w:rFonts w:ascii="Arial" w:hAnsi="Arial" w:cs="Arial"/>
            <w:sz w:val="16"/>
            <w:szCs w:val="16"/>
            <w:lang w:val="en-US"/>
          </w:rPr>
          <w:t>Facebook</w:t>
        </w:r>
      </w:hyperlink>
      <w:r w:rsidRPr="00D551DE">
        <w:rPr>
          <w:rFonts w:ascii="Arial" w:hAnsi="Arial" w:cs="Arial"/>
          <w:sz w:val="16"/>
          <w:szCs w:val="16"/>
          <w:lang w:val="en-US"/>
        </w:rPr>
        <w:t xml:space="preserve">, </w:t>
      </w:r>
      <w:hyperlink r:id="rId13" w:history="1">
        <w:r w:rsidRPr="00D551DE">
          <w:rPr>
            <w:rStyle w:val="Hyperlink"/>
            <w:rFonts w:ascii="Arial" w:hAnsi="Arial" w:cs="Arial"/>
            <w:sz w:val="16"/>
            <w:szCs w:val="16"/>
            <w:lang w:val="en-US"/>
          </w:rPr>
          <w:t>Twitter</w:t>
        </w:r>
      </w:hyperlink>
      <w:r w:rsidRPr="00D551DE">
        <w:rPr>
          <w:rFonts w:ascii="Arial" w:hAnsi="Arial" w:cs="Arial"/>
          <w:sz w:val="16"/>
          <w:szCs w:val="16"/>
          <w:lang w:val="en-US"/>
        </w:rPr>
        <w:t xml:space="preserve"> and </w:t>
      </w:r>
      <w:hyperlink r:id="rId14" w:history="1">
        <w:r w:rsidRPr="00D551DE">
          <w:rPr>
            <w:rStyle w:val="Hyperlink"/>
            <w:rFonts w:ascii="Arial" w:hAnsi="Arial" w:cs="Arial"/>
            <w:sz w:val="16"/>
            <w:szCs w:val="16"/>
            <w:lang w:val="en-US"/>
          </w:rPr>
          <w:t>YouTube</w:t>
        </w:r>
      </w:hyperlink>
      <w:r w:rsidRPr="00D551DE">
        <w:rPr>
          <w:rFonts w:ascii="Arial" w:hAnsi="Arial" w:cs="Arial"/>
          <w:sz w:val="16"/>
          <w:szCs w:val="16"/>
          <w:lang w:val="en-US"/>
        </w:rPr>
        <w:t>.</w:t>
      </w:r>
    </w:p>
    <w:p w:rsidR="003910AD" w:rsidRPr="00D551DE" w:rsidRDefault="003910AD" w:rsidP="003910AD">
      <w:pPr>
        <w:pStyle w:val="Standard1"/>
        <w:spacing w:before="120"/>
        <w:rPr>
          <w:rFonts w:ascii="Arial" w:hAnsi="Arial" w:cs="Arial"/>
          <w:sz w:val="18"/>
          <w:szCs w:val="18"/>
          <w:lang w:val="en-US"/>
        </w:rPr>
      </w:pPr>
    </w:p>
    <w:p w:rsidR="003910AD" w:rsidRPr="00D551DE" w:rsidRDefault="003910AD" w:rsidP="003910AD">
      <w:pPr>
        <w:pStyle w:val="Standard1"/>
        <w:spacing w:line="200" w:lineRule="atLeast"/>
        <w:jc w:val="center"/>
        <w:rPr>
          <w:rFonts w:ascii="Arial" w:hAnsi="Arial" w:cs="Arial"/>
          <w:i/>
          <w:iCs/>
          <w:sz w:val="18"/>
          <w:szCs w:val="18"/>
          <w:lang w:val="en-US"/>
        </w:rPr>
      </w:pPr>
      <w:r w:rsidRPr="00D551DE">
        <w:rPr>
          <w:rFonts w:ascii="Arial" w:hAnsi="Arial" w:cs="Arial"/>
          <w:sz w:val="18"/>
          <w:szCs w:val="18"/>
          <w:lang w:val="en-US"/>
        </w:rPr>
        <w:t>* * *</w:t>
      </w:r>
      <w:r w:rsidRPr="00D551DE">
        <w:rPr>
          <w:rFonts w:ascii="Arial" w:hAnsi="Arial" w:cs="Arial"/>
          <w:i/>
          <w:iCs/>
          <w:sz w:val="18"/>
          <w:szCs w:val="18"/>
          <w:lang w:val="en-US"/>
        </w:rPr>
        <w:t xml:space="preserve"> </w:t>
      </w:r>
    </w:p>
    <w:p w:rsidR="003910AD" w:rsidRPr="00D551DE" w:rsidRDefault="003910AD" w:rsidP="003910AD">
      <w:pPr>
        <w:pStyle w:val="Standard1"/>
        <w:spacing w:line="200" w:lineRule="atLeast"/>
        <w:jc w:val="center"/>
        <w:rPr>
          <w:rFonts w:ascii="Arial" w:hAnsi="Arial" w:cs="Arial"/>
          <w:i/>
          <w:iCs/>
          <w:sz w:val="18"/>
          <w:szCs w:val="18"/>
          <w:lang w:val="en-US"/>
        </w:rPr>
      </w:pPr>
    </w:p>
    <w:p w:rsidR="00D108AC" w:rsidRPr="00915FDE" w:rsidRDefault="00D108AC" w:rsidP="00915FDE">
      <w:pPr>
        <w:pStyle w:val="Standard1"/>
        <w:spacing w:line="200" w:lineRule="atLeast"/>
        <w:rPr>
          <w:rFonts w:ascii="Arial" w:hAnsi="Arial" w:cs="Arial"/>
          <w:i/>
          <w:iCs/>
          <w:kern w:val="2"/>
          <w:sz w:val="16"/>
          <w:szCs w:val="16"/>
        </w:rPr>
      </w:pPr>
    </w:p>
    <w:sectPr w:rsidR="00D108AC" w:rsidRPr="00915FDE"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131CB"/>
    <w:rsid w:val="000869F6"/>
    <w:rsid w:val="000D5BAC"/>
    <w:rsid w:val="000E736A"/>
    <w:rsid w:val="000F05F1"/>
    <w:rsid w:val="0010462C"/>
    <w:rsid w:val="00111B1A"/>
    <w:rsid w:val="00122B4D"/>
    <w:rsid w:val="00157343"/>
    <w:rsid w:val="001B42BC"/>
    <w:rsid w:val="002018D7"/>
    <w:rsid w:val="00201D44"/>
    <w:rsid w:val="00212286"/>
    <w:rsid w:val="002172C9"/>
    <w:rsid w:val="002D516E"/>
    <w:rsid w:val="002D625D"/>
    <w:rsid w:val="002D7353"/>
    <w:rsid w:val="002F03D5"/>
    <w:rsid w:val="00341F3D"/>
    <w:rsid w:val="003710B5"/>
    <w:rsid w:val="003910AD"/>
    <w:rsid w:val="003C5916"/>
    <w:rsid w:val="004731D8"/>
    <w:rsid w:val="004857EA"/>
    <w:rsid w:val="004B1424"/>
    <w:rsid w:val="004D2177"/>
    <w:rsid w:val="00544A75"/>
    <w:rsid w:val="0055759C"/>
    <w:rsid w:val="005C6F13"/>
    <w:rsid w:val="006204A1"/>
    <w:rsid w:val="00685009"/>
    <w:rsid w:val="0069359A"/>
    <w:rsid w:val="006A7FD9"/>
    <w:rsid w:val="006C4A69"/>
    <w:rsid w:val="006E5682"/>
    <w:rsid w:val="00700E83"/>
    <w:rsid w:val="00735068"/>
    <w:rsid w:val="007D5195"/>
    <w:rsid w:val="007E6CD8"/>
    <w:rsid w:val="007F032A"/>
    <w:rsid w:val="007F10E7"/>
    <w:rsid w:val="007F4CDC"/>
    <w:rsid w:val="00881B43"/>
    <w:rsid w:val="008D011F"/>
    <w:rsid w:val="00915B34"/>
    <w:rsid w:val="00915FDE"/>
    <w:rsid w:val="0092236E"/>
    <w:rsid w:val="009544C6"/>
    <w:rsid w:val="00961AF0"/>
    <w:rsid w:val="0098707E"/>
    <w:rsid w:val="009977CF"/>
    <w:rsid w:val="009C65B6"/>
    <w:rsid w:val="009C67E6"/>
    <w:rsid w:val="009F4A73"/>
    <w:rsid w:val="00A31EE8"/>
    <w:rsid w:val="00A95BFF"/>
    <w:rsid w:val="00AF3997"/>
    <w:rsid w:val="00B05B22"/>
    <w:rsid w:val="00B37B7A"/>
    <w:rsid w:val="00B51652"/>
    <w:rsid w:val="00B621CB"/>
    <w:rsid w:val="00B86632"/>
    <w:rsid w:val="00B94BBD"/>
    <w:rsid w:val="00BB0080"/>
    <w:rsid w:val="00BD1DEC"/>
    <w:rsid w:val="00C3732A"/>
    <w:rsid w:val="00C90E46"/>
    <w:rsid w:val="00C962A6"/>
    <w:rsid w:val="00D108AC"/>
    <w:rsid w:val="00D46BF1"/>
    <w:rsid w:val="00D551DE"/>
    <w:rsid w:val="00D62FA2"/>
    <w:rsid w:val="00E40B37"/>
    <w:rsid w:val="00E42931"/>
    <w:rsid w:val="00E529F9"/>
    <w:rsid w:val="00E72D0D"/>
    <w:rsid w:val="00EC12EC"/>
    <w:rsid w:val="00EC47A8"/>
    <w:rsid w:val="00F453DD"/>
    <w:rsid w:val="00FA3174"/>
    <w:rsid w:val="00FB4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paragraph" w:styleId="Textkrper">
    <w:name w:val="Body Text"/>
    <w:basedOn w:val="Standard"/>
    <w:link w:val="TextkrperZchn"/>
    <w:rsid w:val="006C4A69"/>
    <w:pPr>
      <w:spacing w:after="120"/>
    </w:pPr>
    <w:rPr>
      <w:lang w:eastAsia="zh-CN"/>
    </w:rPr>
  </w:style>
  <w:style w:type="character" w:customStyle="1" w:styleId="TextkrperZchn">
    <w:name w:val="Textkörper Zchn"/>
    <w:basedOn w:val="Absatz-Standardschriftart"/>
    <w:link w:val="Textkrper"/>
    <w:rsid w:val="006C4A69"/>
    <w:rPr>
      <w:rFonts w:ascii="Times New Roman" w:eastAsia="Times New Roman"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paragraph" w:styleId="Textkrper">
    <w:name w:val="Body Text"/>
    <w:basedOn w:val="Standard"/>
    <w:link w:val="TextkrperZchn"/>
    <w:rsid w:val="006C4A69"/>
    <w:pPr>
      <w:spacing w:after="120"/>
    </w:pPr>
    <w:rPr>
      <w:lang w:eastAsia="zh-CN"/>
    </w:rPr>
  </w:style>
  <w:style w:type="character" w:customStyle="1" w:styleId="TextkrperZchn">
    <w:name w:val="Textkörper Zchn"/>
    <w:basedOn w:val="Absatz-Standardschriftart"/>
    <w:link w:val="Textkrper"/>
    <w:rsid w:val="006C4A69"/>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s://mobile.twitter.com/congatecAG"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facebook.com/Congate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hyperlink" Target="http://www.congatec.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5491</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congatec</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Manuel Ribbehege</cp:lastModifiedBy>
  <cp:revision>2</cp:revision>
  <dcterms:created xsi:type="dcterms:W3CDTF">2015-12-01T15:15:00Z</dcterms:created>
  <dcterms:modified xsi:type="dcterms:W3CDTF">2015-12-01T15:15:00Z</dcterms:modified>
</cp:coreProperties>
</file>