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77543B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77543B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77543B" w:rsidTr="00BD06A3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77543B" w:rsidRDefault="00D97692" w:rsidP="00F06CA0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proofErr w:type="spellStart"/>
            <w:r w:rsidRPr="0077543B">
              <w:rPr>
                <w:rFonts w:ascii="Hind Light" w:hAnsi="Hind Light" w:cs="Hind Light"/>
                <w:b/>
                <w:sz w:val="18"/>
                <w:u w:val="single"/>
              </w:rPr>
              <w:t>Domande</w:t>
            </w:r>
            <w:proofErr w:type="spellEnd"/>
            <w:r w:rsidRPr="0077543B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77543B">
              <w:rPr>
                <w:rFonts w:ascii="Hind Light" w:hAnsi="Hind Light" w:cs="Hind Light"/>
                <w:b/>
                <w:sz w:val="18"/>
                <w:u w:val="single"/>
              </w:rPr>
              <w:t>dei</w:t>
            </w:r>
            <w:proofErr w:type="spellEnd"/>
            <w:r w:rsidRPr="0077543B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77543B">
              <w:rPr>
                <w:rFonts w:ascii="Hind Light" w:hAnsi="Hind Light" w:cs="Hind Light"/>
                <w:b/>
                <w:sz w:val="18"/>
                <w:u w:val="single"/>
              </w:rPr>
              <w:t>lettori</w:t>
            </w:r>
            <w:proofErr w:type="spellEnd"/>
            <w:r w:rsidRPr="0077543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77543B" w:rsidRDefault="00F06CA0" w:rsidP="00BD06A3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proofErr w:type="spellStart"/>
            <w:r w:rsidRPr="0077543B">
              <w:rPr>
                <w:rFonts w:ascii="Hind Light" w:hAnsi="Hind Light" w:cs="Hind Light"/>
                <w:b/>
                <w:sz w:val="18"/>
                <w:u w:val="single"/>
              </w:rPr>
              <w:t>Contatto</w:t>
            </w:r>
            <w:proofErr w:type="spellEnd"/>
            <w:r w:rsidRPr="0077543B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77543B">
              <w:rPr>
                <w:rFonts w:ascii="Hind Light" w:hAnsi="Hind Light" w:cs="Hind Light"/>
                <w:b/>
                <w:sz w:val="18"/>
                <w:u w:val="single"/>
              </w:rPr>
              <w:t>Stampa</w:t>
            </w:r>
            <w:proofErr w:type="spellEnd"/>
            <w:r w:rsidRPr="0077543B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77543B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77543B" w:rsidRDefault="00E40B37" w:rsidP="00BD06A3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7543B">
              <w:rPr>
                <w:rFonts w:ascii="Hind Light" w:hAnsi="Hind Light" w:cs="Hind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77543B" w:rsidRDefault="00E40B37" w:rsidP="00BD06A3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7543B">
              <w:rPr>
                <w:rFonts w:ascii="Hind Light" w:hAnsi="Hind Light" w:cs="Hind Light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77543B" w:rsidTr="00BD06A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77543B" w:rsidRDefault="00655B81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7543B">
              <w:rPr>
                <w:rFonts w:ascii="Hind Light" w:hAnsi="Hind Light" w:cs="Hind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77543B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7543B">
              <w:rPr>
                <w:rFonts w:ascii="Hind Light" w:hAnsi="Hind Light" w:cs="Hind Light"/>
                <w:sz w:val="18"/>
                <w:szCs w:val="18"/>
              </w:rPr>
              <w:t>Michael Hennen</w:t>
            </w:r>
          </w:p>
        </w:tc>
      </w:tr>
      <w:tr w:rsidR="00E40B37" w:rsidRPr="0077543B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39428B" w:rsidRPr="0077543B" w:rsidRDefault="006F40DB" w:rsidP="0039428B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7543B">
              <w:rPr>
                <w:rFonts w:ascii="Hind Light" w:hAnsi="Hind Light" w:cs="Hind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77543B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7543B">
              <w:rPr>
                <w:rFonts w:ascii="Hind Light" w:hAnsi="Hind Light" w:cs="Hind Light"/>
                <w:sz w:val="18"/>
                <w:szCs w:val="18"/>
              </w:rPr>
              <w:t>Phone: +49-2405-4526720</w:t>
            </w:r>
          </w:p>
        </w:tc>
      </w:tr>
      <w:tr w:rsidR="00E40B37" w:rsidRPr="0077543B" w:rsidTr="00BD06A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436FF" w:rsidRPr="0077543B" w:rsidRDefault="00E913B0" w:rsidP="000436FF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5" w:history="1">
              <w:r w:rsidR="000436FF" w:rsidRPr="0077543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info@congatec.com</w:t>
              </w:r>
            </w:hyperlink>
          </w:p>
          <w:p w:rsidR="00E40B37" w:rsidRPr="0077543B" w:rsidRDefault="00E913B0" w:rsidP="00143DF4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6" w:history="1">
              <w:r w:rsidR="00BD06A3" w:rsidRPr="0077543B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www.congatec.it</w:t>
              </w:r>
            </w:hyperlink>
            <w:r w:rsidR="00BD06A3" w:rsidRPr="0077543B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77543B" w:rsidRDefault="00E913B0" w:rsidP="00BD06A3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7" w:history="1">
              <w:r w:rsidR="00E40B37" w:rsidRPr="0077543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info@sams-network.com</w:t>
              </w:r>
            </w:hyperlink>
          </w:p>
          <w:p w:rsidR="00E40B37" w:rsidRPr="0077543B" w:rsidRDefault="00E913B0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8" w:history="1">
              <w:r w:rsidR="00E40B37" w:rsidRPr="0077543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www.sams-network.com</w:t>
              </w:r>
            </w:hyperlink>
          </w:p>
        </w:tc>
      </w:tr>
      <w:tr w:rsidR="009C6424" w:rsidRPr="0077543B" w:rsidTr="009C6424">
        <w:tblPrEx>
          <w:tblCellMar>
            <w:left w:w="70" w:type="dxa"/>
            <w:right w:w="70" w:type="dxa"/>
          </w:tblCellMar>
        </w:tblPrEx>
        <w:trPr>
          <w:gridAfter w:val="1"/>
          <w:wAfter w:w="2551" w:type="dxa"/>
          <w:trHeight w:val="227"/>
        </w:trPr>
        <w:tc>
          <w:tcPr>
            <w:tcW w:w="2552" w:type="dxa"/>
          </w:tcPr>
          <w:p w:rsidR="009C6424" w:rsidRPr="0077543B" w:rsidRDefault="009C6424" w:rsidP="00B25D58">
            <w:pPr>
              <w:pStyle w:val="Standard1"/>
              <w:snapToGrid w:val="0"/>
              <w:spacing w:before="80"/>
              <w:rPr>
                <w:rFonts w:ascii="Hind Light" w:hAnsi="Hind Light" w:cs="Hind Light"/>
                <w:b/>
                <w:sz w:val="18"/>
                <w:szCs w:val="18"/>
                <w:lang w:val="en-US"/>
              </w:rPr>
            </w:pPr>
            <w:r w:rsidRPr="0077543B">
              <w:rPr>
                <w:rFonts w:ascii="Hind Light" w:hAnsi="Hind Light" w:cs="Hind Light"/>
                <w:b/>
                <w:sz w:val="18"/>
                <w:szCs w:val="18"/>
                <w:lang w:val="en-US"/>
              </w:rPr>
              <w:t>Technagon GmbH</w:t>
            </w:r>
          </w:p>
        </w:tc>
      </w:tr>
      <w:tr w:rsidR="009C6424" w:rsidRPr="0077543B" w:rsidTr="009C6424">
        <w:tblPrEx>
          <w:tblCellMar>
            <w:left w:w="70" w:type="dxa"/>
            <w:right w:w="70" w:type="dxa"/>
          </w:tblCellMar>
        </w:tblPrEx>
        <w:trPr>
          <w:gridAfter w:val="1"/>
          <w:wAfter w:w="2551" w:type="dxa"/>
          <w:trHeight w:val="101"/>
        </w:trPr>
        <w:tc>
          <w:tcPr>
            <w:tcW w:w="2552" w:type="dxa"/>
          </w:tcPr>
          <w:p w:rsidR="009C6424" w:rsidRPr="0077543B" w:rsidRDefault="009C6424" w:rsidP="00B25D58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  <w:lang w:val="en-US"/>
              </w:rPr>
            </w:pPr>
            <w:r w:rsidRPr="0077543B">
              <w:rPr>
                <w:rFonts w:ascii="Hind Light" w:hAnsi="Hind Light" w:cs="Hind Light"/>
                <w:sz w:val="18"/>
                <w:szCs w:val="18"/>
                <w:lang w:val="en-US"/>
              </w:rPr>
              <w:t xml:space="preserve">Peter </w:t>
            </w:r>
            <w:r w:rsidRPr="0077543B">
              <w:rPr>
                <w:rFonts w:ascii="Hind Light" w:hAnsi="Hind Light" w:cs="Hind Light"/>
                <w:sz w:val="18"/>
                <w:szCs w:val="18"/>
              </w:rPr>
              <w:t>Müller</w:t>
            </w:r>
          </w:p>
        </w:tc>
      </w:tr>
      <w:tr w:rsidR="009C6424" w:rsidRPr="0077543B" w:rsidTr="009C6424">
        <w:tblPrEx>
          <w:tblCellMar>
            <w:left w:w="70" w:type="dxa"/>
            <w:right w:w="70" w:type="dxa"/>
          </w:tblCellMar>
        </w:tblPrEx>
        <w:trPr>
          <w:gridAfter w:val="1"/>
          <w:wAfter w:w="2551" w:type="dxa"/>
          <w:trHeight w:val="227"/>
        </w:trPr>
        <w:tc>
          <w:tcPr>
            <w:tcW w:w="2552" w:type="dxa"/>
          </w:tcPr>
          <w:p w:rsidR="009C6424" w:rsidRPr="0077543B" w:rsidRDefault="009C6424" w:rsidP="00B25D58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  <w:lang w:val="en-US"/>
              </w:rPr>
            </w:pPr>
            <w:r w:rsidRPr="0077543B">
              <w:rPr>
                <w:rFonts w:ascii="Hind Light" w:hAnsi="Hind Light" w:cs="Hind Light"/>
                <w:sz w:val="18"/>
                <w:szCs w:val="18"/>
                <w:lang w:val="en-US"/>
              </w:rPr>
              <w:t>Phone: +49-</w:t>
            </w:r>
            <w:r w:rsidRPr="0077543B">
              <w:rPr>
                <w:rFonts w:ascii="Hind Light" w:hAnsi="Hind Light" w:cs="Hind Light"/>
                <w:sz w:val="18"/>
                <w:szCs w:val="18"/>
              </w:rPr>
              <w:t>8555-51700-00</w:t>
            </w:r>
          </w:p>
        </w:tc>
      </w:tr>
      <w:tr w:rsidR="009C6424" w:rsidRPr="0077543B" w:rsidTr="009C6424">
        <w:tblPrEx>
          <w:tblCellMar>
            <w:left w:w="70" w:type="dxa"/>
            <w:right w:w="70" w:type="dxa"/>
          </w:tblCellMar>
        </w:tblPrEx>
        <w:trPr>
          <w:gridAfter w:val="1"/>
          <w:wAfter w:w="2551" w:type="dxa"/>
          <w:trHeight w:val="273"/>
        </w:trPr>
        <w:tc>
          <w:tcPr>
            <w:tcW w:w="2552" w:type="dxa"/>
          </w:tcPr>
          <w:p w:rsidR="009C6424" w:rsidRPr="0077543B" w:rsidRDefault="00E913B0" w:rsidP="00B25D58">
            <w:pPr>
              <w:pStyle w:val="Standard1"/>
              <w:snapToGrid w:val="0"/>
              <w:spacing w:before="20"/>
              <w:rPr>
                <w:rStyle w:val="Hyperlink"/>
                <w:rFonts w:ascii="Hind Light" w:hAnsi="Hind Light" w:cs="Hind Light"/>
                <w:sz w:val="18"/>
                <w:szCs w:val="18"/>
              </w:rPr>
            </w:pPr>
            <w:hyperlink r:id="rId9" w:history="1">
              <w:r w:rsidR="009C6424" w:rsidRPr="0077543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office@technagon.de</w:t>
              </w:r>
            </w:hyperlink>
          </w:p>
          <w:p w:rsidR="009C6424" w:rsidRPr="0077543B" w:rsidRDefault="00E913B0" w:rsidP="00B25D58">
            <w:pPr>
              <w:pStyle w:val="Standard1"/>
              <w:snapToGrid w:val="0"/>
              <w:spacing w:before="20"/>
              <w:rPr>
                <w:rStyle w:val="Hyperlink"/>
                <w:rFonts w:ascii="Hind Light" w:hAnsi="Hind Light" w:cs="Hind Light"/>
                <w:sz w:val="18"/>
                <w:szCs w:val="18"/>
              </w:rPr>
            </w:pPr>
            <w:hyperlink r:id="rId10" w:history="1">
              <w:r w:rsidR="009C6424" w:rsidRPr="0077543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www.technagon.de</w:t>
              </w:r>
            </w:hyperlink>
          </w:p>
          <w:p w:rsidR="009C6424" w:rsidRPr="0077543B" w:rsidRDefault="009C6424" w:rsidP="00B25D58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</w:p>
        </w:tc>
      </w:tr>
    </w:tbl>
    <w:p w:rsidR="009C6424" w:rsidRPr="0077543B" w:rsidRDefault="009C6424" w:rsidP="009C6424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9C6424" w:rsidRPr="0077543B" w:rsidRDefault="009C6424" w:rsidP="009C6424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9C6424" w:rsidRPr="0077543B" w:rsidRDefault="009C6424" w:rsidP="009C6424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9C6424" w:rsidRPr="0077543B" w:rsidRDefault="009C6424" w:rsidP="009C6424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  <w:r w:rsidRPr="0077543B">
        <w:rPr>
          <w:rFonts w:ascii="Hind Light" w:hAnsi="Hind Light" w:cs="Hind Light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440000" cy="950369"/>
            <wp:effectExtent l="19050" t="0" r="7800" b="0"/>
            <wp:docPr id="1" name="Bild 1" descr="Z:\congatec\01-PR\COPR1606-Technagon-Kooperation\Peter_Mueller-Matthias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606-Technagon-Kooperation\Peter_Mueller-Matthias_Kl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5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E34" w:rsidRPr="0077543B" w:rsidRDefault="00420E34" w:rsidP="00420E34">
      <w:pPr>
        <w:rPr>
          <w:rFonts w:ascii="Hind107 Light" w:hAnsi="Hind107 Light" w:cs="Hind107 Light"/>
          <w:i/>
          <w:iCs/>
          <w:color w:val="000000"/>
          <w:sz w:val="18"/>
          <w:szCs w:val="18"/>
          <w:lang w:val="it-IT"/>
        </w:rPr>
      </w:pPr>
      <w:r w:rsidRPr="0077543B">
        <w:rPr>
          <w:rFonts w:ascii="Hind107 Light" w:hAnsi="Hind107 Light" w:cs="Hind107 Light"/>
          <w:i/>
          <w:iCs/>
          <w:color w:val="000000"/>
          <w:sz w:val="18"/>
          <w:szCs w:val="18"/>
          <w:lang w:val="it-IT"/>
        </w:rPr>
        <w:t>Peter Müller, Technagon,</w:t>
      </w:r>
      <w:r w:rsidR="00142790" w:rsidRPr="0077543B">
        <w:rPr>
          <w:rFonts w:ascii="Hind107 Light" w:hAnsi="Hind107 Light" w:cs="Hind107 Light"/>
          <w:i/>
          <w:iCs/>
          <w:color w:val="000000"/>
          <w:sz w:val="18"/>
          <w:szCs w:val="18"/>
          <w:lang w:val="it-IT"/>
        </w:rPr>
        <w:t xml:space="preserve"> e Matthias Klein, congatec, </w:t>
      </w:r>
      <w:r w:rsidRPr="0077543B">
        <w:rPr>
          <w:rFonts w:ascii="Hind107 Light" w:hAnsi="Hind107 Light" w:cs="Hind107 Light"/>
          <w:i/>
          <w:iCs/>
          <w:color w:val="000000"/>
          <w:sz w:val="18"/>
          <w:szCs w:val="18"/>
          <w:lang w:val="it-IT"/>
        </w:rPr>
        <w:t xml:space="preserve">hanno siglato l'accordo tra le due </w:t>
      </w:r>
      <w:proofErr w:type="gramStart"/>
      <w:r w:rsidRPr="0077543B">
        <w:rPr>
          <w:rFonts w:ascii="Hind107 Light" w:hAnsi="Hind107 Light" w:cs="Hind107 Light"/>
          <w:i/>
          <w:iCs/>
          <w:color w:val="000000"/>
          <w:sz w:val="18"/>
          <w:szCs w:val="18"/>
          <w:lang w:val="it-IT"/>
        </w:rPr>
        <w:t>società</w:t>
      </w:r>
      <w:proofErr w:type="gramEnd"/>
    </w:p>
    <w:p w:rsidR="009C6424" w:rsidRPr="0077543B" w:rsidRDefault="009C6424" w:rsidP="00EC47A8">
      <w:pPr>
        <w:spacing w:after="120"/>
        <w:rPr>
          <w:rFonts w:ascii="Hind Light" w:hAnsi="Hind Light" w:cs="Hind Light"/>
          <w:i/>
          <w:noProof/>
          <w:sz w:val="16"/>
          <w:szCs w:val="16"/>
          <w:lang w:val="it-IT" w:eastAsia="de-DE"/>
        </w:rPr>
      </w:pPr>
    </w:p>
    <w:p w:rsidR="00EC47A8" w:rsidRPr="0077543B" w:rsidRDefault="002719EA" w:rsidP="00EC47A8">
      <w:pPr>
        <w:spacing w:after="120"/>
        <w:rPr>
          <w:rFonts w:ascii="Hind Light" w:hAnsi="Hind Light" w:cs="Hind Light"/>
          <w:b/>
          <w:u w:val="single"/>
          <w:lang w:val="it-IT"/>
        </w:rPr>
      </w:pPr>
      <w:proofErr w:type="gramStart"/>
      <w:r w:rsidRPr="0077543B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t xml:space="preserve">Testo e foto disponibili presso: </w:t>
      </w:r>
      <w:hyperlink r:id="rId12" w:history="1">
        <w:r w:rsidRPr="0077543B">
          <w:rPr>
            <w:rFonts w:ascii="Hind Light" w:hAnsi="Hind Light" w:cs="Hind Light"/>
            <w:i/>
            <w:noProof/>
            <w:sz w:val="16"/>
            <w:szCs w:val="16"/>
            <w:lang w:val="it-IT" w:eastAsia="de-DE"/>
          </w:rPr>
          <w:t>http://www.congatec.com/press</w:t>
        </w:r>
      </w:hyperlink>
      <w:proofErr w:type="gramEnd"/>
      <w:r w:rsidRPr="0077543B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br/>
      </w:r>
    </w:p>
    <w:p w:rsidR="0041314D" w:rsidRPr="0077543B" w:rsidRDefault="0041314D" w:rsidP="0041314D">
      <w:pPr>
        <w:spacing w:after="120"/>
        <w:rPr>
          <w:rFonts w:ascii="Hind107 Light" w:hAnsi="Hind107 Light" w:cs="Hind107 Light"/>
          <w:b/>
          <w:i/>
          <w:iCs/>
          <w:color w:val="000000"/>
          <w:u w:val="single"/>
          <w:lang w:val="it-IT"/>
        </w:rPr>
      </w:pPr>
      <w:r w:rsidRPr="0077543B">
        <w:rPr>
          <w:rFonts w:ascii="Hind107 Light" w:hAnsi="Hind107 Light" w:cs="Hind107 Light"/>
          <w:b/>
          <w:u w:val="single"/>
          <w:lang w:val="it-IT"/>
        </w:rPr>
        <w:t xml:space="preserve">Comunicato stampa </w:t>
      </w:r>
    </w:p>
    <w:p w:rsidR="00D108AC" w:rsidRPr="0077543B" w:rsidRDefault="00D108AC" w:rsidP="00D108AC">
      <w:pPr>
        <w:jc w:val="right"/>
        <w:rPr>
          <w:rFonts w:ascii="Hind Light" w:hAnsi="Hind Light" w:cs="Hind Light"/>
          <w:kern w:val="2"/>
          <w:sz w:val="22"/>
          <w:szCs w:val="22"/>
          <w:lang w:val="it-IT"/>
        </w:rPr>
      </w:pPr>
    </w:p>
    <w:p w:rsidR="00142790" w:rsidRPr="0077543B" w:rsidRDefault="00142790" w:rsidP="00142790">
      <w:pPr>
        <w:spacing w:before="360"/>
        <w:jc w:val="center"/>
        <w:rPr>
          <w:rFonts w:ascii="Hind107 Bold" w:hAnsi="Hind107 Bold" w:cs="Hind107 Bold"/>
          <w:sz w:val="28"/>
          <w:szCs w:val="28"/>
          <w:lang w:val="it-IT"/>
        </w:rPr>
      </w:pPr>
      <w:r w:rsidRPr="0077543B">
        <w:rPr>
          <w:rFonts w:ascii="Hind107 Bold" w:hAnsi="Hind107 Bold" w:cs="Hind107 Bold"/>
          <w:b/>
          <w:sz w:val="28"/>
          <w:szCs w:val="28"/>
          <w:lang w:val="it-IT"/>
        </w:rPr>
        <w:t>Accordo di cooperazione tra congatec</w:t>
      </w:r>
      <w:r w:rsidRPr="0077543B">
        <w:rPr>
          <w:rFonts w:ascii="Hind107 Bold" w:hAnsi="Hind107 Bold" w:cs="Hind107 Bold"/>
          <w:sz w:val="28"/>
          <w:szCs w:val="28"/>
          <w:lang w:val="it-IT"/>
        </w:rPr>
        <w:t xml:space="preserve"> e </w:t>
      </w:r>
      <w:r w:rsidRPr="0077543B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Technagon </w:t>
      </w:r>
    </w:p>
    <w:p w:rsidR="00142790" w:rsidRPr="0077543B" w:rsidRDefault="00142790" w:rsidP="00142790">
      <w:pPr>
        <w:spacing w:before="360"/>
        <w:jc w:val="center"/>
        <w:rPr>
          <w:rFonts w:ascii="Hind107 Light" w:hAnsi="Hind107 Light" w:cs="Hind107 Light"/>
          <w:sz w:val="22"/>
          <w:szCs w:val="22"/>
          <w:lang w:val="it-IT"/>
        </w:rPr>
      </w:pPr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In base all'intesa raggiunta Technagon diventa "sales 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technology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 partner" di </w:t>
      </w:r>
      <w:proofErr w:type="gramStart"/>
      <w:r w:rsidRPr="0077543B">
        <w:rPr>
          <w:rFonts w:ascii="Hind107 Light" w:hAnsi="Hind107 Light" w:cs="Hind107 Light"/>
          <w:sz w:val="22"/>
          <w:szCs w:val="22"/>
          <w:lang w:val="it-IT"/>
        </w:rPr>
        <w:t>congatec</w:t>
      </w:r>
      <w:proofErr w:type="gramEnd"/>
    </w:p>
    <w:p w:rsidR="00142790" w:rsidRPr="0077543B" w:rsidRDefault="00142790" w:rsidP="00142790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142790" w:rsidRPr="0077543B" w:rsidRDefault="00142790" w:rsidP="00142790">
      <w:pPr>
        <w:spacing w:before="240"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77543B">
        <w:rPr>
          <w:rFonts w:ascii="Hind107 Light" w:hAnsi="Hind107 Light" w:cs="Hind107 Light"/>
          <w:b/>
          <w:sz w:val="22"/>
          <w:szCs w:val="22"/>
          <w:lang w:val="it-IT"/>
        </w:rPr>
        <w:t>Deggendorf, Germania, 23 Febbraio 2016  * * *</w:t>
      </w:r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  congatec, azienda leader nel settore dei moduli di elaborazione embedded, dei computer su scheda singola (SBC - Single 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Board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 Computer) e dei servizi EDM (Embedded Design and Manufacturing) ha annunciato che Technagon è divenuto "sales 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technology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 partner" della società: con questa operazione congatec intende rafforzare la propria gamma di servizi di progettazione e produzione personalizzati destinati ad applicazioni quali sistemi di emissione biglietti e POS (Point 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Of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 Sale), distributori automatici, cartellonistica digitale ed 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e-mobility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>.</w:t>
      </w:r>
    </w:p>
    <w:p w:rsidR="00142790" w:rsidRPr="0077543B" w:rsidRDefault="00142790" w:rsidP="00142790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142790" w:rsidRPr="0077543B" w:rsidRDefault="00142790" w:rsidP="00142790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77543B">
        <w:rPr>
          <w:rFonts w:ascii="Hind107 Light" w:hAnsi="Hind107 Light" w:cs="Hind107 Light"/>
          <w:sz w:val="22"/>
          <w:szCs w:val="22"/>
          <w:lang w:val="it-IT"/>
        </w:rPr>
        <w:lastRenderedPageBreak/>
        <w:t xml:space="preserve">Technagon è un'azienda specializzata nella progettazione e nello sviluppo di sistemi personalizzati utilizzati in vari comparti industriali. Per sistemi POS, cartellonistica digitale, 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eMobility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 e sistemi embedded l'azienda propone anche blocchi base pronti per l'impiego in produzione (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production-ready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>) - come ad progetti (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concepts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) 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application-ready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 per autenticazione, pagamento e fatturazione, oppure per la protezione contro atti di vandalismo e tentativi di effrazione – che vengono integrati in modo rapido ed efficiente nelle singole soluzioni dei clienti. Grazie a questa cooperazione i clienti, oltre ridurre in modo significativo tempi di sviluppo e costi, possono sfruttare la competenza e l'esperienza già maturate dall'azienda nello sviluppo di questi componenti e blocchi base. Con la stipula di questo accordo la tecnologia di congatec diventa parte integrale del kit di soluzioni di Technagon che spazia dalle schede 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carrier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 "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application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specific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>" ai box PC embedded  all'integrazione di tutti i componenti necessari per la realizzazione di un sistema al progetto e alla produzione di alloggiamenti personalizzati.</w:t>
      </w:r>
    </w:p>
    <w:p w:rsidR="00142790" w:rsidRPr="0077543B" w:rsidRDefault="00142790" w:rsidP="00142790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142790" w:rsidRPr="0077543B" w:rsidRDefault="00142790" w:rsidP="00142790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"La cooperazione con congatec rafforza in modo significativo la nostra offerta di servizi di ingegnerizzazione – ha detto Peter Müller, Business 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Development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 Manager di Technagon – e ci permette di offrire soluzioni sempre più efficienti. Grazie a questa partnership a livello sia tecnologico sia di vendita sarà possibile affrontare insieme progetti innovativi e integrare le più recenti tecnologie di processore in questi progetti in tempi rapidi. I nostri clienti potranno in tal modo beneficiare di notevoli vantaggi in termini sia tecnologici sia di 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time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 to market. Inoltre potremo anche ottimizzare il nostro supporto agli sviluppatori in quanto i servizi di integrazione personalizzati di congatec possono essere richiesti direttamente da noi".</w:t>
      </w:r>
    </w:p>
    <w:p w:rsidR="00142790" w:rsidRPr="0077543B" w:rsidRDefault="00142790" w:rsidP="00142790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142790" w:rsidRPr="0077543B" w:rsidRDefault="00142790" w:rsidP="00142790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"Con le competenze acquisite nella progettazione e nello sviluppo di sistemi POS, per cartellonistica digitale ed 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eMobility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 personalizzati, Technagon è già un valido partner per molti OEM" – ha commentato </w:t>
      </w:r>
      <w:r w:rsidR="00DC4C50" w:rsidRPr="0077543B">
        <w:rPr>
          <w:rFonts w:ascii="Hind107 Light" w:hAnsi="Hind107 Light" w:cs="Hind107 Light"/>
          <w:sz w:val="22"/>
          <w:szCs w:val="22"/>
          <w:lang w:val="it-IT"/>
        </w:rPr>
        <w:t xml:space="preserve">Matthias Klein, COO </w:t>
      </w:r>
      <w:r w:rsidRPr="0077543B">
        <w:rPr>
          <w:rFonts w:ascii="Hind107 Light" w:hAnsi="Hind107 Light" w:cs="Hind107 Light"/>
          <w:sz w:val="22"/>
          <w:szCs w:val="22"/>
          <w:lang w:val="it-IT"/>
        </w:rPr>
        <w:t xml:space="preserve">di congatec. "Grazie alla partnership con Technagon possiamo proporci in maniera completamente nuova in questo segmento. I clienti possono disporre di una soluzione completa che permette loro di ridurre considerevolmente il </w:t>
      </w:r>
      <w:proofErr w:type="spellStart"/>
      <w:r w:rsidRPr="0077543B">
        <w:rPr>
          <w:rFonts w:ascii="Hind107 Light" w:hAnsi="Hind107 Light" w:cs="Hind107 Light"/>
          <w:sz w:val="22"/>
          <w:szCs w:val="22"/>
          <w:lang w:val="it-IT"/>
        </w:rPr>
        <w:t>time-to-market</w:t>
      </w:r>
      <w:proofErr w:type="spellEnd"/>
      <w:r w:rsidRPr="0077543B">
        <w:rPr>
          <w:rFonts w:ascii="Hind107 Light" w:hAnsi="Hind107 Light" w:cs="Hind107 Light"/>
          <w:sz w:val="22"/>
          <w:szCs w:val="22"/>
          <w:lang w:val="it-IT"/>
        </w:rPr>
        <w:t>".</w:t>
      </w:r>
    </w:p>
    <w:p w:rsidR="00D108AC" w:rsidRPr="0077543B" w:rsidRDefault="00D108AC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it-IT"/>
        </w:rPr>
      </w:pPr>
    </w:p>
    <w:p w:rsidR="00360715" w:rsidRPr="0077543B" w:rsidRDefault="00360715" w:rsidP="00360715">
      <w:pPr>
        <w:pStyle w:val="Standard1"/>
        <w:spacing w:line="200" w:lineRule="atLeast"/>
        <w:rPr>
          <w:rFonts w:ascii="Hind107 Light" w:hAnsi="Hind107 Light" w:cs="Hind107 Light"/>
          <w:sz w:val="18"/>
          <w:szCs w:val="18"/>
          <w:lang w:val="it-IT"/>
        </w:rPr>
      </w:pPr>
      <w:r w:rsidRPr="0077543B">
        <w:rPr>
          <w:rFonts w:ascii="Hind107 Light" w:hAnsi="Hind107 Light" w:cs="Hind107 Light"/>
          <w:b/>
          <w:bCs/>
          <w:sz w:val="18"/>
          <w:szCs w:val="18"/>
          <w:lang w:val="it-IT"/>
        </w:rPr>
        <w:t>Chi è congatec AG</w:t>
      </w:r>
      <w:r w:rsidRPr="0077543B">
        <w:rPr>
          <w:rFonts w:ascii="Hind107 Light" w:hAnsi="Hind107 Light" w:cs="Hind107 Light"/>
          <w:sz w:val="18"/>
          <w:szCs w:val="18"/>
          <w:lang w:val="it-IT"/>
        </w:rPr>
        <w:br/>
        <w:t xml:space="preserve">congatec AG ha sede a Deggendorf, in Germania, ed è fornitore leader di computer </w:t>
      </w:r>
      <w:proofErr w:type="spellStart"/>
      <w:r w:rsidRPr="0077543B">
        <w:rPr>
          <w:rFonts w:ascii="Hind107 Light" w:hAnsi="Hind107 Light" w:cs="Hind107 Light"/>
          <w:sz w:val="18"/>
          <w:szCs w:val="18"/>
          <w:lang w:val="it-IT"/>
        </w:rPr>
        <w:t>monoscheda</w:t>
      </w:r>
      <w:proofErr w:type="spellEnd"/>
      <w:r w:rsidRPr="0077543B">
        <w:rPr>
          <w:rFonts w:ascii="Hind107 Light" w:hAnsi="Hind107 Light" w:cs="Hind107 Light"/>
          <w:sz w:val="18"/>
          <w:szCs w:val="18"/>
          <w:lang w:val="it-IT"/>
        </w:rPr>
        <w:t xml:space="preserve"> (SBC), servizi EDM e moduli informatici industriali che utilizzano fattori di forma standard Qseven, COM Express, XTX e ETX. I prodotti congatec possono essere utilizzati in molteplici settori e applicazioni, tra cui l'automazione industriale, la tecnologia medica, le forniture per il settore automobilistico, aerospaziale e dei trasporti. Il suo principale campo di competenza e know-how tecnico comprende esclusive funzioni BIOS estese, così come pacchetti completi di supporto per driver e schede. Successivamente alla fase di progettazione, ai clienti viene fornita assistenza tramite una gestione estesa del ciclo di vita del prodotto. I prodotti dell'azienda sono fabbricati da fornitori di servizi specialistici conformemente ai moderni standard di qualità. Attualmente congatec vanta 177 dipendenti e divisioni a Taiwan, Giappone, Cina, USA,  Australia e Repubblica Ceca. Per ulteriori informazioni consultare il nostro sito web </w:t>
      </w:r>
      <w:hyperlink r:id="rId13" w:history="1">
        <w:r w:rsidRPr="0077543B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www.congatec.com</w:t>
        </w:r>
      </w:hyperlink>
      <w:r w:rsidRPr="0077543B">
        <w:rPr>
          <w:rFonts w:ascii="Hind107 Light" w:hAnsi="Hind107 Light" w:cs="Hind107 Light"/>
          <w:sz w:val="18"/>
          <w:szCs w:val="18"/>
          <w:lang w:val="it-IT"/>
        </w:rPr>
        <w:t xml:space="preserve"> oppure tramite </w:t>
      </w:r>
      <w:hyperlink r:id="rId14" w:history="1">
        <w:proofErr w:type="spellStart"/>
        <w:r w:rsidRPr="0077543B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Facebook</w:t>
        </w:r>
        <w:proofErr w:type="spellEnd"/>
      </w:hyperlink>
      <w:r w:rsidRPr="0077543B">
        <w:rPr>
          <w:rFonts w:ascii="Hind107 Light" w:hAnsi="Hind107 Light" w:cs="Hind107 Light"/>
          <w:sz w:val="18"/>
          <w:szCs w:val="18"/>
          <w:lang w:val="it-IT"/>
        </w:rPr>
        <w:t xml:space="preserve">, </w:t>
      </w:r>
      <w:hyperlink r:id="rId15" w:history="1">
        <w:proofErr w:type="spellStart"/>
        <w:r w:rsidRPr="0077543B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Twitter</w:t>
        </w:r>
        <w:proofErr w:type="spellEnd"/>
      </w:hyperlink>
      <w:r w:rsidRPr="0077543B">
        <w:rPr>
          <w:rFonts w:ascii="Hind107 Light" w:hAnsi="Hind107 Light" w:cs="Hind107 Light"/>
          <w:sz w:val="18"/>
          <w:szCs w:val="18"/>
          <w:lang w:val="it-IT"/>
        </w:rPr>
        <w:t xml:space="preserve"> e </w:t>
      </w:r>
      <w:hyperlink r:id="rId16" w:history="1">
        <w:proofErr w:type="spellStart"/>
        <w:r w:rsidRPr="0077543B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YouTube</w:t>
        </w:r>
        <w:proofErr w:type="spellEnd"/>
      </w:hyperlink>
      <w:r w:rsidRPr="0077543B">
        <w:rPr>
          <w:rFonts w:ascii="Hind107 Light" w:hAnsi="Hind107 Light" w:cs="Hind107 Light"/>
          <w:sz w:val="18"/>
          <w:szCs w:val="18"/>
          <w:lang w:val="it-IT"/>
        </w:rPr>
        <w:t>.</w:t>
      </w:r>
    </w:p>
    <w:p w:rsidR="003910AD" w:rsidRPr="0077543B" w:rsidRDefault="003910AD" w:rsidP="003910AD">
      <w:pPr>
        <w:pStyle w:val="Standard1"/>
        <w:spacing w:before="120"/>
        <w:rPr>
          <w:rFonts w:ascii="Hind Light" w:hAnsi="Hind Light" w:cs="Hind Light"/>
          <w:sz w:val="18"/>
          <w:szCs w:val="18"/>
          <w:lang w:val="it-IT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7543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5B2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107 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436FF"/>
    <w:rsid w:val="00064CB6"/>
    <w:rsid w:val="000869F6"/>
    <w:rsid w:val="000E736A"/>
    <w:rsid w:val="0010462C"/>
    <w:rsid w:val="00142790"/>
    <w:rsid w:val="00143DF4"/>
    <w:rsid w:val="00157343"/>
    <w:rsid w:val="002018D7"/>
    <w:rsid w:val="00212286"/>
    <w:rsid w:val="002172C9"/>
    <w:rsid w:val="002719EA"/>
    <w:rsid w:val="002D625D"/>
    <w:rsid w:val="002E36C4"/>
    <w:rsid w:val="00341F3D"/>
    <w:rsid w:val="00347DCD"/>
    <w:rsid w:val="00360715"/>
    <w:rsid w:val="003710B5"/>
    <w:rsid w:val="00371E89"/>
    <w:rsid w:val="003910AD"/>
    <w:rsid w:val="0039428B"/>
    <w:rsid w:val="003C5916"/>
    <w:rsid w:val="0041314D"/>
    <w:rsid w:val="00420E34"/>
    <w:rsid w:val="00463673"/>
    <w:rsid w:val="004D2177"/>
    <w:rsid w:val="005B1C06"/>
    <w:rsid w:val="005C6F13"/>
    <w:rsid w:val="00655B81"/>
    <w:rsid w:val="0069359A"/>
    <w:rsid w:val="006E5682"/>
    <w:rsid w:val="006F40DB"/>
    <w:rsid w:val="00700E83"/>
    <w:rsid w:val="00735068"/>
    <w:rsid w:val="0077543B"/>
    <w:rsid w:val="007F032A"/>
    <w:rsid w:val="007F10E7"/>
    <w:rsid w:val="008332CF"/>
    <w:rsid w:val="00844C3F"/>
    <w:rsid w:val="00881B43"/>
    <w:rsid w:val="008D011F"/>
    <w:rsid w:val="00915B34"/>
    <w:rsid w:val="0092236E"/>
    <w:rsid w:val="0098707E"/>
    <w:rsid w:val="009977CF"/>
    <w:rsid w:val="009C6424"/>
    <w:rsid w:val="009C65B6"/>
    <w:rsid w:val="009C67E6"/>
    <w:rsid w:val="00A31EE8"/>
    <w:rsid w:val="00AC1410"/>
    <w:rsid w:val="00B37B7A"/>
    <w:rsid w:val="00B85832"/>
    <w:rsid w:val="00B86632"/>
    <w:rsid w:val="00BB0080"/>
    <w:rsid w:val="00BD06A3"/>
    <w:rsid w:val="00BD1DEC"/>
    <w:rsid w:val="00C42896"/>
    <w:rsid w:val="00CC0079"/>
    <w:rsid w:val="00D108AC"/>
    <w:rsid w:val="00D15B2E"/>
    <w:rsid w:val="00D97692"/>
    <w:rsid w:val="00DC4C50"/>
    <w:rsid w:val="00E032F5"/>
    <w:rsid w:val="00E3500E"/>
    <w:rsid w:val="00E37531"/>
    <w:rsid w:val="00E40B37"/>
    <w:rsid w:val="00E529F9"/>
    <w:rsid w:val="00E913B0"/>
    <w:rsid w:val="00EB436A"/>
    <w:rsid w:val="00EC47A8"/>
    <w:rsid w:val="00EF53C5"/>
    <w:rsid w:val="00F06CA0"/>
    <w:rsid w:val="00F1301F"/>
    <w:rsid w:val="00F453DD"/>
    <w:rsid w:val="00F62C3B"/>
    <w:rsid w:val="00FA2562"/>
    <w:rsid w:val="00FA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BD0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congatec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congatec.com/pres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gatec.it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hyperlink" Target="http://www.technagon.d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ffice@technagon.de" TargetMode="External"/><Relationship Id="rId14" Type="http://schemas.openxmlformats.org/officeDocument/2006/relationships/hyperlink" Target="http://www.facebook.com/Congate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24</cp:revision>
  <dcterms:created xsi:type="dcterms:W3CDTF">2015-10-05T08:18:00Z</dcterms:created>
  <dcterms:modified xsi:type="dcterms:W3CDTF">2016-03-07T16:52:00Z</dcterms:modified>
</cp:coreProperties>
</file>