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val="es-ES" w:eastAsia="es-ES"/>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E258CA" w:rsidP="008C7D2A">
            <w:pPr>
              <w:pStyle w:val="Standard1"/>
              <w:snapToGrid w:val="0"/>
              <w:spacing w:before="20"/>
              <w:rPr>
                <w:rFonts w:ascii="Hind107 Light" w:hAnsi="Hind107 Light" w:cs="Hind107 Light"/>
                <w:sz w:val="18"/>
                <w:szCs w:val="18"/>
              </w:rPr>
            </w:pPr>
            <w:hyperlink r:id="rId5" w:history="1">
              <w:r w:rsidR="00E40B37" w:rsidRPr="00F6326F">
                <w:rPr>
                  <w:rStyle w:val="Hipervnculo"/>
                  <w:rFonts w:ascii="Hind107 Light" w:hAnsi="Hind107 Light" w:cs="Hind107 Light"/>
                  <w:sz w:val="18"/>
                  <w:szCs w:val="18"/>
                </w:rPr>
                <w:t>info@congatec.com</w:t>
              </w:r>
            </w:hyperlink>
          </w:p>
          <w:p w:rsidR="00E40B37" w:rsidRPr="00F6326F" w:rsidRDefault="00E258CA" w:rsidP="002D2DD9">
            <w:pPr>
              <w:pStyle w:val="Standard1"/>
              <w:snapToGrid w:val="0"/>
              <w:spacing w:before="20"/>
              <w:rPr>
                <w:rFonts w:ascii="Hind107 Light" w:hAnsi="Hind107 Light" w:cs="Hind107 Light"/>
                <w:sz w:val="18"/>
                <w:szCs w:val="18"/>
              </w:rPr>
            </w:pPr>
            <w:hyperlink r:id="rId6" w:history="1">
              <w:r w:rsidR="00DC0E48" w:rsidRPr="00A97629">
                <w:rPr>
                  <w:rStyle w:val="Hipervnculo"/>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E258CA" w:rsidP="008C7D2A">
            <w:pPr>
              <w:pStyle w:val="Standard1"/>
              <w:snapToGrid w:val="0"/>
              <w:spacing w:before="20"/>
              <w:rPr>
                <w:rFonts w:ascii="Hind107 Light" w:hAnsi="Hind107 Light" w:cs="Hind107 Light"/>
                <w:sz w:val="18"/>
                <w:szCs w:val="18"/>
              </w:rPr>
            </w:pPr>
            <w:hyperlink r:id="rId7" w:history="1">
              <w:r w:rsidR="00E40B37" w:rsidRPr="00F6326F">
                <w:rPr>
                  <w:rStyle w:val="Hipervnculo"/>
                  <w:rFonts w:ascii="Hind107 Light" w:hAnsi="Hind107 Light" w:cs="Hind107 Light"/>
                  <w:sz w:val="18"/>
                  <w:szCs w:val="18"/>
                </w:rPr>
                <w:t>info@sams-network.com</w:t>
              </w:r>
            </w:hyperlink>
          </w:p>
          <w:p w:rsidR="00E40B37" w:rsidRPr="00F6326F" w:rsidRDefault="00E258CA" w:rsidP="002D2DD9">
            <w:pPr>
              <w:pStyle w:val="Standard1"/>
              <w:snapToGrid w:val="0"/>
              <w:spacing w:before="20"/>
              <w:rPr>
                <w:rFonts w:ascii="Hind107 Light" w:hAnsi="Hind107 Light" w:cs="Hind107 Light"/>
                <w:sz w:val="18"/>
                <w:szCs w:val="18"/>
              </w:rPr>
            </w:pPr>
            <w:hyperlink r:id="rId8" w:history="1">
              <w:r w:rsidR="00E40B37" w:rsidRPr="00F6326F">
                <w:rPr>
                  <w:rStyle w:val="Hipervnculo"/>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73317C" w:rsidRPr="00740FEB" w:rsidRDefault="0073317C" w:rsidP="0073317C">
      <w:pPr>
        <w:spacing w:after="120"/>
        <w:rPr>
          <w:rFonts w:ascii="Hind Light" w:hAnsi="Hind Light" w:cs="Hind Light"/>
          <w:noProof/>
          <w:lang w:eastAsia="de-DE"/>
        </w:rPr>
      </w:pPr>
      <w:r>
        <w:rPr>
          <w:rFonts w:ascii="Hind Light" w:hAnsi="Hind Light" w:cs="Hind Light"/>
          <w:noProof/>
          <w:lang w:val="es-ES" w:eastAsia="es-ES"/>
        </w:rPr>
        <w:drawing>
          <wp:inline distT="0" distB="0" distL="0" distR="0">
            <wp:extent cx="1440000" cy="958499"/>
            <wp:effectExtent l="19050" t="0" r="7800" b="0"/>
            <wp:docPr id="2" name="Bild 1" descr="Z:\congatec\01-PR\COPR1601-Mini-ITX-conga-IC170-Intel-Core-Sk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1-Mini-ITX-conga-IC170-Intel-Core-Skylake\conga-IC170_press.jpg"/>
                    <pic:cNvPicPr>
                      <a:picLocks noChangeAspect="1" noChangeArrowheads="1"/>
                    </pic:cNvPicPr>
                  </pic:nvPicPr>
                  <pic:blipFill>
                    <a:blip r:embed="rId9" cstate="print"/>
                    <a:srcRect/>
                    <a:stretch>
                      <a:fillRect/>
                    </a:stretch>
                  </pic:blipFill>
                  <pic:spPr bwMode="auto">
                    <a:xfrm>
                      <a:off x="0" y="0"/>
                      <a:ext cx="1440000" cy="958499"/>
                    </a:xfrm>
                    <a:prstGeom prst="rect">
                      <a:avLst/>
                    </a:prstGeom>
                    <a:noFill/>
                    <a:ln w="9525">
                      <a:noFill/>
                      <a:miter lim="800000"/>
                      <a:headEnd/>
                      <a:tailEnd/>
                    </a:ln>
                  </pic:spPr>
                </pic:pic>
              </a:graphicData>
            </a:graphic>
          </wp:inline>
        </w:drawing>
      </w:r>
    </w:p>
    <w:p w:rsidR="0073317C" w:rsidRPr="00505024" w:rsidRDefault="0073317C" w:rsidP="0073317C">
      <w:pPr>
        <w:spacing w:after="120"/>
        <w:rPr>
          <w:rFonts w:ascii="Hind Light" w:hAnsi="Hind Light" w:cs="Hind Light"/>
          <w:i/>
          <w:iCs/>
          <w:color w:val="000000"/>
          <w:sz w:val="16"/>
          <w:szCs w:val="16"/>
          <w:lang w:val="es-ES"/>
        </w:rPr>
      </w:pPr>
      <w:r>
        <w:rPr>
          <w:rFonts w:ascii="Hind Light" w:hAnsi="Hind Light" w:cs="Hind Light"/>
          <w:i/>
          <w:iCs/>
          <w:color w:val="000000"/>
          <w:sz w:val="16"/>
          <w:szCs w:val="16"/>
          <w:lang w:val="es-ES"/>
        </w:rPr>
        <w:t>Placas Thin Mini-ITX de c</w:t>
      </w:r>
      <w:r w:rsidRPr="00505024">
        <w:rPr>
          <w:rFonts w:ascii="Hind Light" w:hAnsi="Hind Light" w:cs="Hind Light"/>
          <w:i/>
          <w:iCs/>
          <w:color w:val="000000"/>
          <w:sz w:val="16"/>
          <w:szCs w:val="16"/>
          <w:lang w:val="es-ES"/>
        </w:rPr>
        <w:t>ongatec con procesadores soldados de 6ª generación Intel® Core™ que ofrecen un rendimiento altamente escalable y rápida RAM DDR4</w:t>
      </w:r>
    </w:p>
    <w:p w:rsidR="00256643" w:rsidRPr="00DC0E48" w:rsidRDefault="00256643" w:rsidP="00FE76DA">
      <w:pPr>
        <w:spacing w:after="120"/>
        <w:rPr>
          <w:rFonts w:ascii="Hind107 Light" w:hAnsi="Hind107 Light" w:cs="Hind107 Light"/>
          <w:i/>
          <w:noProof/>
          <w:sz w:val="16"/>
          <w:szCs w:val="16"/>
          <w:lang w:val="it-IT" w:eastAsia="de-DE"/>
        </w:rPr>
      </w:pPr>
      <w:r w:rsidRPr="00DC0E48">
        <w:rPr>
          <w:rFonts w:ascii="Hind107 Light" w:hAnsi="Hind107 Light" w:cs="Hind107 Light"/>
          <w:i/>
          <w:noProof/>
          <w:sz w:val="16"/>
          <w:szCs w:val="16"/>
          <w:lang w:val="it-IT" w:eastAsia="de-DE"/>
        </w:rPr>
        <w:t xml:space="preserve">Texto y foto también disponible online en::  </w:t>
      </w:r>
      <w:hyperlink r:id="rId10" w:history="1">
        <w:r w:rsidRPr="00DC0E48">
          <w:rPr>
            <w:rFonts w:ascii="Hind107 Light" w:hAnsi="Hind107 Light" w:cs="Hind107 Light"/>
            <w:i/>
            <w:noProof/>
            <w:sz w:val="16"/>
            <w:szCs w:val="16"/>
            <w:lang w:val="it-IT" w:eastAsia="de-DE"/>
          </w:rPr>
          <w:t>http://www.congatec.com/press</w:t>
        </w:r>
      </w:hyperlink>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482AEA">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482AEA">
      <w:pPr>
        <w:jc w:val="right"/>
        <w:rPr>
          <w:rFonts w:ascii="Hind107 Light" w:hAnsi="Hind107 Light" w:cs="Hind107 Light"/>
          <w:kern w:val="2"/>
          <w:sz w:val="22"/>
          <w:szCs w:val="22"/>
          <w:lang w:val="it-IT"/>
        </w:rPr>
      </w:pPr>
    </w:p>
    <w:p w:rsidR="00C879B6" w:rsidRPr="00505024" w:rsidRDefault="00C879B6" w:rsidP="00482AEA">
      <w:pPr>
        <w:pStyle w:val="Standard1"/>
        <w:jc w:val="center"/>
        <w:rPr>
          <w:rFonts w:ascii="Hind107 Medium" w:hAnsi="Hind107 Medium" w:cs="Hind107 Medium"/>
          <w:b/>
          <w:bCs/>
          <w:lang w:val="es-ES"/>
        </w:rPr>
      </w:pPr>
      <w:r w:rsidRPr="00505024">
        <w:rPr>
          <w:rFonts w:ascii="Hind107 Medium" w:hAnsi="Hind107 Medium" w:cs="Hind107 Medium"/>
          <w:b/>
          <w:bCs/>
          <w:sz w:val="27"/>
          <w:szCs w:val="27"/>
          <w:lang w:val="es-ES"/>
        </w:rPr>
        <w:t>Las placas industriales Thin Mini-ITX de con</w:t>
      </w:r>
      <w:r w:rsidR="00726A31">
        <w:rPr>
          <w:rFonts w:ascii="Hind107 Medium" w:hAnsi="Hind107 Medium" w:cs="Hind107 Medium"/>
          <w:b/>
          <w:bCs/>
          <w:sz w:val="27"/>
          <w:szCs w:val="27"/>
          <w:lang w:val="es-ES"/>
        </w:rPr>
        <w:t xml:space="preserve">gatec, con procesadores </w:t>
      </w:r>
      <w:r w:rsidRPr="00505024">
        <w:rPr>
          <w:rFonts w:ascii="Hind107 Medium" w:hAnsi="Hind107 Medium" w:cs="Hind107 Medium"/>
          <w:b/>
          <w:bCs/>
          <w:sz w:val="27"/>
          <w:szCs w:val="27"/>
          <w:lang w:val="es-ES"/>
        </w:rPr>
        <w:t>de 6ª generación Intel® Core™</w:t>
      </w:r>
      <w:r w:rsidR="00726A31">
        <w:rPr>
          <w:rFonts w:ascii="Hind107 Medium" w:hAnsi="Hind107 Medium" w:cs="Hind107 Medium"/>
          <w:b/>
          <w:bCs/>
          <w:sz w:val="27"/>
          <w:szCs w:val="27"/>
          <w:lang w:val="es-ES"/>
        </w:rPr>
        <w:t xml:space="preserve">, </w:t>
      </w:r>
      <w:r w:rsidRPr="00505024">
        <w:rPr>
          <w:rFonts w:ascii="Hind107 Medium" w:hAnsi="Hind107 Medium" w:cs="Hind107 Medium"/>
          <w:b/>
          <w:bCs/>
          <w:sz w:val="27"/>
          <w:szCs w:val="27"/>
          <w:lang w:val="es-ES"/>
        </w:rPr>
        <w:t>ofrecen una alta escalabilidad</w:t>
      </w:r>
    </w:p>
    <w:p w:rsidR="00C879B6" w:rsidRPr="00505024" w:rsidRDefault="00C879B6" w:rsidP="00482AEA">
      <w:pPr>
        <w:pStyle w:val="Standard1"/>
        <w:jc w:val="center"/>
        <w:rPr>
          <w:rFonts w:ascii="Hind107 Light" w:hAnsi="Hind107 Light" w:cs="Hind107 Light"/>
          <w:b/>
          <w:bCs/>
          <w:lang w:val="es-ES"/>
        </w:rPr>
      </w:pPr>
    </w:p>
    <w:p w:rsidR="00C879B6" w:rsidRPr="00505024" w:rsidRDefault="00C879B6" w:rsidP="00482AEA">
      <w:pPr>
        <w:pStyle w:val="Standard1"/>
        <w:jc w:val="center"/>
        <w:rPr>
          <w:rFonts w:ascii="Hind107 Light" w:hAnsi="Hind107 Light" w:cs="Hind107 Light"/>
          <w:b/>
          <w:bCs/>
          <w:lang w:val="es-ES"/>
        </w:rPr>
      </w:pPr>
      <w:r w:rsidRPr="00505024">
        <w:rPr>
          <w:rFonts w:ascii="Hind107 Light" w:hAnsi="Hind107 Light" w:cs="Hind107 Light"/>
          <w:b/>
          <w:bCs/>
          <w:lang w:val="es-ES"/>
        </w:rPr>
        <w:t>Alta escalabilidad para una amplia variedad de aplicaciones industriales</w:t>
      </w:r>
    </w:p>
    <w:p w:rsidR="00BD1046" w:rsidRPr="00113B1D" w:rsidRDefault="00BD1046" w:rsidP="00482AEA">
      <w:pPr>
        <w:pStyle w:val="Standard1"/>
        <w:jc w:val="center"/>
        <w:rPr>
          <w:rFonts w:ascii="Hind Light" w:hAnsi="Hind Light" w:cs="Hind Light"/>
          <w:b/>
          <w:bCs/>
          <w:lang w:val="es-ES"/>
        </w:rPr>
      </w:pPr>
    </w:p>
    <w:p w:rsidR="00A135A4" w:rsidRPr="00505024" w:rsidRDefault="00A135A4" w:rsidP="00482AEA">
      <w:pPr>
        <w:spacing w:line="360" w:lineRule="auto"/>
        <w:rPr>
          <w:rFonts w:ascii="Hind107 Light" w:hAnsi="Hind107 Light" w:cs="Hind107 Light"/>
          <w:sz w:val="22"/>
          <w:szCs w:val="22"/>
          <w:lang w:val="es-ES"/>
        </w:rPr>
      </w:pPr>
      <w:r w:rsidRPr="00505024">
        <w:rPr>
          <w:rStyle w:val="Kommentarzeichen1"/>
          <w:rFonts w:ascii="Hind107 Light" w:hAnsi="Hind107 Light" w:cs="Hind107 Light"/>
          <w:b/>
          <w:sz w:val="22"/>
          <w:szCs w:val="22"/>
          <w:lang w:val="es-ES"/>
        </w:rPr>
        <w:t>Deggendorf, Alemania, 23 de febrero de 2016  * * *</w:t>
      </w:r>
      <w:r w:rsidRPr="00505024">
        <w:rPr>
          <w:rStyle w:val="Kommentarzeichen1"/>
          <w:rFonts w:ascii="Hind107 Light" w:hAnsi="Hind107 Light" w:cs="Hind107 Light"/>
          <w:sz w:val="22"/>
          <w:szCs w:val="22"/>
          <w:lang w:val="es-ES"/>
        </w:rPr>
        <w:t xml:space="preserve">  </w:t>
      </w:r>
      <w:r w:rsidRPr="00505024">
        <w:rPr>
          <w:rFonts w:ascii="Hind107 Light" w:hAnsi="Hind107 Light" w:cs="Hind107 Light"/>
          <w:sz w:val="22"/>
          <w:szCs w:val="22"/>
          <w:lang w:val="es-ES"/>
        </w:rPr>
        <w:t>congatec, una empresa líder en tecnología de módulos informáticos em</w:t>
      </w:r>
      <w:r w:rsidR="00726A31">
        <w:rPr>
          <w:rFonts w:ascii="Hind107 Light" w:hAnsi="Hind107 Light" w:cs="Hind107 Light"/>
          <w:sz w:val="22"/>
          <w:szCs w:val="22"/>
          <w:lang w:val="es-ES"/>
        </w:rPr>
        <w:t xml:space="preserve">bebidos, </w:t>
      </w:r>
      <w:proofErr w:type="spellStart"/>
      <w:r w:rsidRPr="00505024">
        <w:rPr>
          <w:rFonts w:ascii="Hind107 Light" w:hAnsi="Hind107 Light" w:cs="Hind107 Light"/>
          <w:sz w:val="22"/>
          <w:szCs w:val="22"/>
          <w:lang w:val="es-ES"/>
        </w:rPr>
        <w:t>SBC</w:t>
      </w:r>
      <w:r w:rsidR="00726A31">
        <w:rPr>
          <w:rFonts w:ascii="Hind107 Light" w:hAnsi="Hind107 Light" w:cs="Hind107 Light"/>
          <w:sz w:val="22"/>
          <w:szCs w:val="22"/>
          <w:lang w:val="es-ES"/>
        </w:rPr>
        <w:t>s</w:t>
      </w:r>
      <w:proofErr w:type="spellEnd"/>
      <w:r w:rsidR="00726A31">
        <w:rPr>
          <w:rFonts w:ascii="Hind107 Light" w:hAnsi="Hind107 Light" w:cs="Hind107 Light"/>
          <w:sz w:val="22"/>
          <w:szCs w:val="22"/>
          <w:lang w:val="es-ES"/>
        </w:rPr>
        <w:t xml:space="preserve">, </w:t>
      </w:r>
      <w:r w:rsidRPr="00505024">
        <w:rPr>
          <w:rFonts w:ascii="Hind107 Light" w:hAnsi="Hind107 Light" w:cs="Hind107 Light"/>
          <w:sz w:val="22"/>
          <w:szCs w:val="22"/>
          <w:lang w:val="es-ES"/>
        </w:rPr>
        <w:t>servicios de fabricación (EDM) y diseño embebido, presenta su nueva familia de placas Thin Mini-ITX de alta escalabi</w:t>
      </w:r>
      <w:r w:rsidR="00726A31">
        <w:rPr>
          <w:rFonts w:ascii="Hind107 Light" w:hAnsi="Hind107 Light" w:cs="Hind107 Light"/>
          <w:sz w:val="22"/>
          <w:szCs w:val="22"/>
          <w:lang w:val="es-ES"/>
        </w:rPr>
        <w:t>lidad  con procesadores</w:t>
      </w:r>
      <w:r w:rsidRPr="00505024">
        <w:rPr>
          <w:rFonts w:ascii="Hind107 Light" w:hAnsi="Hind107 Light" w:cs="Hind107 Light"/>
          <w:sz w:val="22"/>
          <w:szCs w:val="22"/>
          <w:lang w:val="es-ES"/>
        </w:rPr>
        <w:t xml:space="preserve"> Intel®, en el Embedded World (Hall 1, stand 358). Las nuevas placas destacan por su alta escalabilidad, que van desde procesadores 2.0 GHz Intel® Celeron® hasta 3.4 GHz Intel® Core™ i7. Las placas de grado industrial ofrecen además una potencia de diseño térmico totalmente configurable (TDP) de 15 a 7,5 vatios, hasta 32 GB de memoria RAM DDR4 y soporte multipantalla 4K. Estas ventajas vienen en tándem con un amplio conjunto de interfaces para la conexión directa de varias extensiones específicas de</w:t>
      </w:r>
      <w:r w:rsidR="00726A31">
        <w:rPr>
          <w:rFonts w:ascii="Hind107 Light" w:hAnsi="Hind107 Light" w:cs="Hind107 Light"/>
          <w:sz w:val="22"/>
          <w:szCs w:val="22"/>
          <w:lang w:val="es-ES"/>
        </w:rPr>
        <w:t xml:space="preserve"> aplicaciones industriales</w:t>
      </w:r>
      <w:r w:rsidRPr="00505024">
        <w:rPr>
          <w:rFonts w:ascii="Hind107 Light" w:hAnsi="Hind107 Light" w:cs="Hind107 Light"/>
          <w:sz w:val="22"/>
          <w:szCs w:val="22"/>
          <w:lang w:val="es-ES"/>
        </w:rPr>
        <w:t xml:space="preserve">, como tarjetas SIM, cámaras CMOS de bajo coste, así como </w:t>
      </w:r>
      <w:r w:rsidR="00726A31">
        <w:rPr>
          <w:rFonts w:ascii="Hind107 Light" w:hAnsi="Hind107 Light" w:cs="Hind107 Light"/>
          <w:sz w:val="22"/>
          <w:szCs w:val="22"/>
          <w:lang w:val="es-ES"/>
        </w:rPr>
        <w:t>lectores de tarjetas</w:t>
      </w:r>
      <w:r w:rsidRPr="00505024">
        <w:rPr>
          <w:rFonts w:ascii="Hind107 Light" w:hAnsi="Hind107 Light" w:cs="Hind107 Light"/>
          <w:sz w:val="22"/>
          <w:szCs w:val="22"/>
          <w:lang w:val="es-ES"/>
        </w:rPr>
        <w:t xml:space="preserve">. </w:t>
      </w:r>
      <w:r w:rsidR="00726A31">
        <w:rPr>
          <w:rFonts w:ascii="Hind107 Light" w:hAnsi="Hind107 Light" w:cs="Hind107 Light"/>
          <w:sz w:val="22"/>
          <w:szCs w:val="22"/>
          <w:lang w:val="es-ES"/>
        </w:rPr>
        <w:t xml:space="preserve">Otro aspecto positivo de estas placas es que </w:t>
      </w:r>
      <w:r w:rsidRPr="00505024">
        <w:rPr>
          <w:rFonts w:ascii="Hind107 Light" w:hAnsi="Hind107 Light" w:cs="Hind107 Light"/>
          <w:sz w:val="22"/>
          <w:szCs w:val="22"/>
          <w:lang w:val="es-ES"/>
        </w:rPr>
        <w:t>cuentan con una disponibilidad a largo plazo de 7 años y un diseño robusto para soportar ambientes hostiles. Para los OEM, estos beneficios se traducen en un diseño más fácil y un proceso de desarrollo del producto más eficiente en coste y tiempo.</w:t>
      </w:r>
    </w:p>
    <w:p w:rsidR="00A135A4" w:rsidRPr="00505024" w:rsidRDefault="00A135A4" w:rsidP="00482AEA">
      <w:pPr>
        <w:spacing w:line="360" w:lineRule="auto"/>
        <w:rPr>
          <w:rFonts w:ascii="Hind107 Light" w:hAnsi="Hind107 Light" w:cs="Hind107 Light"/>
          <w:sz w:val="22"/>
          <w:szCs w:val="22"/>
          <w:lang w:val="es-ES"/>
        </w:rPr>
      </w:pPr>
    </w:p>
    <w:p w:rsidR="00A135A4" w:rsidRPr="00505024" w:rsidRDefault="00A135A4" w:rsidP="00482AEA">
      <w:pPr>
        <w:spacing w:line="360" w:lineRule="auto"/>
        <w:rPr>
          <w:rFonts w:ascii="Hind107 Light" w:hAnsi="Hind107 Light" w:cs="Hind107 Light"/>
          <w:sz w:val="22"/>
          <w:szCs w:val="22"/>
          <w:lang w:val="es-ES"/>
        </w:rPr>
      </w:pPr>
      <w:r w:rsidRPr="00505024">
        <w:rPr>
          <w:rFonts w:ascii="Hind107 Light" w:hAnsi="Hind107 Light" w:cs="Hind107 Light"/>
          <w:sz w:val="22"/>
          <w:szCs w:val="22"/>
          <w:lang w:val="es-ES"/>
        </w:rPr>
        <w:t>Gracias a su alta escalabilidad</w:t>
      </w:r>
      <w:r w:rsidR="00726A31">
        <w:rPr>
          <w:rFonts w:ascii="Hind107 Light" w:hAnsi="Hind107 Light" w:cs="Hind107 Light"/>
          <w:sz w:val="22"/>
          <w:szCs w:val="22"/>
          <w:lang w:val="es-ES"/>
        </w:rPr>
        <w:t>,</w:t>
      </w:r>
      <w:r w:rsidRPr="00505024">
        <w:rPr>
          <w:rFonts w:ascii="Hind107 Light" w:hAnsi="Hind107 Light" w:cs="Hind107 Light"/>
          <w:sz w:val="22"/>
          <w:szCs w:val="22"/>
          <w:lang w:val="es-ES"/>
        </w:rPr>
        <w:t xml:space="preserve"> las nuevas placas Thin Mini-ITX conga-IC170 son ideales para una amplia variedad de aplicaciones industriales. Estas van desde HMIs sin ventilación forzada, sistemas de control y SCADA, potentes y robustos sistemas de kiosko y venta al por menor, máquinas tragaperras y señalización digital. Debido a su fino diseño</w:t>
      </w:r>
      <w:r w:rsidR="00726A31">
        <w:rPr>
          <w:rFonts w:ascii="Hind107 Light" w:hAnsi="Hind107 Light" w:cs="Hind107 Light"/>
          <w:sz w:val="22"/>
          <w:szCs w:val="22"/>
          <w:lang w:val="es-ES"/>
        </w:rPr>
        <w:t>,</w:t>
      </w:r>
      <w:r w:rsidRPr="00505024">
        <w:rPr>
          <w:rFonts w:ascii="Hind107 Light" w:hAnsi="Hind107 Light" w:cs="Hind107 Light"/>
          <w:sz w:val="22"/>
          <w:szCs w:val="22"/>
          <w:lang w:val="es-ES"/>
        </w:rPr>
        <w:t xml:space="preserve"> con una altura de sólo 20 </w:t>
      </w:r>
      <w:r w:rsidRPr="00505024">
        <w:rPr>
          <w:rFonts w:ascii="Hind107 Light" w:hAnsi="Hind107 Light" w:cs="Hind107 Light"/>
          <w:sz w:val="22"/>
          <w:szCs w:val="22"/>
          <w:lang w:val="es-ES"/>
        </w:rPr>
        <w:lastRenderedPageBreak/>
        <w:t>milímetros, también son adecuados para diseños industriales "All-in-One" y paneles extremadamente finos. El soporte opcional "Smart Battery" amplía la gama de implementaciones para incluir incluso aplicaciones portátiles que funcionan con baterías, tales como equipos portátiles de ultrasonidos para tecnología sanitaria. El controlador integrado de gestión de la placa y sop</w:t>
      </w:r>
      <w:r>
        <w:rPr>
          <w:rFonts w:ascii="Hind107 Light" w:hAnsi="Hind107 Light" w:cs="Hind107 Light"/>
          <w:sz w:val="22"/>
          <w:szCs w:val="22"/>
          <w:lang w:val="es-ES"/>
        </w:rPr>
        <w:t xml:space="preserve">orte para la tecnología Intel® </w:t>
      </w:r>
      <w:r w:rsidRPr="00505024">
        <w:rPr>
          <w:rFonts w:ascii="Hind107 Light" w:hAnsi="Hind107 Light" w:cs="Hind107 Light"/>
          <w:sz w:val="22"/>
          <w:szCs w:val="22"/>
          <w:lang w:val="es-ES"/>
        </w:rPr>
        <w:t>Pro™</w:t>
      </w:r>
      <w:r w:rsidR="00726A31">
        <w:rPr>
          <w:rFonts w:ascii="Hind107 Light" w:hAnsi="Hind107 Light" w:cs="Hind107 Light"/>
          <w:sz w:val="22"/>
          <w:szCs w:val="22"/>
          <w:lang w:val="es-ES"/>
        </w:rPr>
        <w:t>,</w:t>
      </w:r>
      <w:r w:rsidRPr="00505024">
        <w:rPr>
          <w:rFonts w:ascii="Hind107 Light" w:hAnsi="Hind107 Light" w:cs="Hind107 Light"/>
          <w:sz w:val="22"/>
          <w:szCs w:val="22"/>
          <w:lang w:val="es-ES"/>
        </w:rPr>
        <w:t xml:space="preserve"> con la tecnología Intel® Active Management (Intel® AMT)</w:t>
      </w:r>
      <w:r w:rsidR="00726A31">
        <w:rPr>
          <w:rFonts w:ascii="Hind107 Light" w:hAnsi="Hind107 Light" w:cs="Hind107 Light"/>
          <w:sz w:val="22"/>
          <w:szCs w:val="22"/>
          <w:lang w:val="es-ES"/>
        </w:rPr>
        <w:t>,</w:t>
      </w:r>
      <w:r w:rsidRPr="00505024">
        <w:rPr>
          <w:rFonts w:ascii="Hind107 Light" w:hAnsi="Hind107 Light" w:cs="Hind107 Light"/>
          <w:sz w:val="22"/>
          <w:szCs w:val="22"/>
          <w:lang w:val="es-ES"/>
        </w:rPr>
        <w:t xml:space="preserve"> aumenta la fiabilidad de las instalaciones de sistemas IoT distribuidos</w:t>
      </w:r>
      <w:r w:rsidR="00726A31">
        <w:rPr>
          <w:rFonts w:ascii="Hind107 Light" w:hAnsi="Hind107 Light" w:cs="Hind107 Light"/>
          <w:sz w:val="22"/>
          <w:szCs w:val="22"/>
          <w:lang w:val="es-ES"/>
        </w:rPr>
        <w:t>. Y</w:t>
      </w:r>
      <w:r w:rsidRPr="00505024">
        <w:rPr>
          <w:rFonts w:ascii="Hind107 Light" w:hAnsi="Hind107 Light" w:cs="Hind107 Light"/>
          <w:sz w:val="22"/>
          <w:szCs w:val="22"/>
          <w:lang w:val="es-ES"/>
        </w:rPr>
        <w:t xml:space="preserve"> en muchos casos, hacen que el mantenimiento in situ sea innecesario.</w:t>
      </w:r>
    </w:p>
    <w:p w:rsidR="00A135A4" w:rsidRPr="00505024" w:rsidRDefault="00A135A4" w:rsidP="00482AEA">
      <w:pPr>
        <w:spacing w:line="360" w:lineRule="auto"/>
        <w:rPr>
          <w:rFonts w:ascii="Hind107 Light" w:hAnsi="Hind107 Light" w:cs="Hind107 Light"/>
          <w:sz w:val="22"/>
          <w:szCs w:val="22"/>
          <w:lang w:val="es-ES"/>
        </w:rPr>
      </w:pPr>
    </w:p>
    <w:p w:rsidR="00A135A4" w:rsidRPr="00482AEA" w:rsidRDefault="00A135A4" w:rsidP="00482AEA">
      <w:pPr>
        <w:spacing w:line="360" w:lineRule="auto"/>
        <w:rPr>
          <w:rFonts w:ascii="Hind107 Light" w:hAnsi="Hind107 Light" w:cs="Hind107 Light"/>
          <w:b/>
          <w:sz w:val="22"/>
          <w:szCs w:val="22"/>
          <w:lang w:val="es-ES"/>
        </w:rPr>
      </w:pPr>
      <w:r w:rsidRPr="00482AEA">
        <w:rPr>
          <w:rFonts w:ascii="Hind107 Light" w:hAnsi="Hind107 Light" w:cs="Hind107 Light"/>
          <w:b/>
          <w:sz w:val="22"/>
          <w:szCs w:val="22"/>
          <w:lang w:val="es-ES"/>
        </w:rPr>
        <w:t>El conjunto de características en detalle</w:t>
      </w:r>
    </w:p>
    <w:p w:rsidR="00A135A4" w:rsidRPr="00505024" w:rsidRDefault="00A135A4" w:rsidP="00482AEA">
      <w:pPr>
        <w:spacing w:line="360" w:lineRule="auto"/>
        <w:rPr>
          <w:rFonts w:ascii="Hind107 Light" w:hAnsi="Hind107 Light" w:cs="Hind107 Light"/>
          <w:sz w:val="22"/>
          <w:szCs w:val="22"/>
          <w:lang w:val="es-ES"/>
        </w:rPr>
      </w:pPr>
      <w:r w:rsidRPr="00505024">
        <w:rPr>
          <w:rFonts w:ascii="Hind107 Light" w:hAnsi="Hind107 Light" w:cs="Hind107 Light"/>
          <w:sz w:val="22"/>
          <w:szCs w:val="22"/>
          <w:lang w:val="es-ES"/>
        </w:rPr>
        <w:t>Las placas Thin Mini-ITX conga-IC170 están equipadas con las versiones SoC de doble núcleo de la serie U de la 6ª generación de procesadores Intel® Core™. La escalabilidad comienza con el procesador Int</w:t>
      </w:r>
      <w:r>
        <w:rPr>
          <w:rFonts w:ascii="Hind107 Light" w:hAnsi="Hind107 Light" w:cs="Hind107 Light"/>
          <w:sz w:val="22"/>
          <w:szCs w:val="22"/>
          <w:lang w:val="es-ES"/>
        </w:rPr>
        <w:t>el® Celeron® 3995U de nivel bás</w:t>
      </w:r>
      <w:r w:rsidRPr="00505024">
        <w:rPr>
          <w:rFonts w:ascii="Hind107 Light" w:hAnsi="Hind107 Light" w:cs="Hind107 Light"/>
          <w:sz w:val="22"/>
          <w:szCs w:val="22"/>
          <w:lang w:val="es-ES"/>
        </w:rPr>
        <w:t>i</w:t>
      </w:r>
      <w:r>
        <w:rPr>
          <w:rFonts w:ascii="Hind107 Light" w:hAnsi="Hind107 Light" w:cs="Hind107 Light"/>
          <w:sz w:val="22"/>
          <w:szCs w:val="22"/>
          <w:lang w:val="es-ES"/>
        </w:rPr>
        <w:t>c</w:t>
      </w:r>
      <w:r w:rsidRPr="00505024">
        <w:rPr>
          <w:rFonts w:ascii="Hind107 Light" w:hAnsi="Hind107 Light" w:cs="Hind107 Light"/>
          <w:sz w:val="22"/>
          <w:szCs w:val="22"/>
          <w:lang w:val="es-ES"/>
        </w:rPr>
        <w:t>o de 2,0 GHz y luego varía entre el procesador Intel® Core ™ i3 6100U (2,3 GHz) y 6300U i5 (2,4 GHz, 3 GHz turbo), hasta el Intel® Core ™ i7 6600</w:t>
      </w:r>
      <w:r w:rsidR="00726A31">
        <w:rPr>
          <w:rFonts w:ascii="Hind107 Light" w:hAnsi="Hind107 Light" w:cs="Hind107 Light"/>
          <w:sz w:val="22"/>
          <w:szCs w:val="22"/>
          <w:lang w:val="es-ES"/>
        </w:rPr>
        <w:t>,</w:t>
      </w:r>
      <w:r w:rsidRPr="00505024">
        <w:rPr>
          <w:rFonts w:ascii="Hind107 Light" w:hAnsi="Hind107 Light" w:cs="Hind107 Light"/>
          <w:sz w:val="22"/>
          <w:szCs w:val="22"/>
          <w:lang w:val="es-ES"/>
        </w:rPr>
        <w:t xml:space="preserve"> con una velocidad máxima turbo de reloj de 3,4 GHz. Dependiendo de la variante del procesador, las nuevas placas ofrecen un TDP configurable de 15 a 7,5 vatios, por lo que es fácil de alinear con el concepto de energía de la aplicación. Con dos entradas para SO-DIMM, las placas soportan hasta 32 GB de memoria DDR4-2133, proporcionando significativamente más ancho de banda y una mejor eficiencia energética que las implementaciones tradicionales DDR3. Los gráficos integrados Intel® Gen9 soportan DirectX 12 y OpenGL 4.4 para gráficos 3D de alto rendimiento en un máximo de 3 pantallas independientes 4k con 60 Hz (3840 x 1260) a través de 2x DP ++ y 1x eDP con la opción adicional de configurar una interfaz de doble canal LVDS de 24 bits. También soporta codificación y decodificación HEVC, VP8, VP9 y video VDENC.</w:t>
      </w:r>
    </w:p>
    <w:p w:rsidR="00A135A4" w:rsidRPr="00505024" w:rsidRDefault="00A135A4" w:rsidP="00482AEA">
      <w:pPr>
        <w:spacing w:line="360" w:lineRule="auto"/>
        <w:rPr>
          <w:rFonts w:ascii="Hind107 Light" w:hAnsi="Hind107 Light" w:cs="Hind107 Light"/>
          <w:sz w:val="22"/>
          <w:szCs w:val="22"/>
          <w:lang w:val="es-ES"/>
        </w:rPr>
      </w:pPr>
    </w:p>
    <w:p w:rsidR="00A135A4" w:rsidRPr="00505024" w:rsidRDefault="00A135A4" w:rsidP="00482AEA">
      <w:pPr>
        <w:spacing w:line="360" w:lineRule="auto"/>
        <w:rPr>
          <w:rFonts w:ascii="Hind107 Light" w:hAnsi="Hind107 Light" w:cs="Hind107 Light"/>
          <w:sz w:val="22"/>
          <w:szCs w:val="22"/>
          <w:lang w:val="es-ES"/>
        </w:rPr>
      </w:pPr>
      <w:r w:rsidRPr="00505024">
        <w:rPr>
          <w:rFonts w:ascii="Hind107 Light" w:hAnsi="Hind107 Light" w:cs="Hind107 Light"/>
          <w:sz w:val="22"/>
          <w:szCs w:val="22"/>
          <w:lang w:val="es-ES"/>
        </w:rPr>
        <w:t>Además de 4x PCIe (Gen 3), el conjunto completo de interfaces también incluye 1x mPCIe así como un conector M.2 que se puede utilizar para ampliación o un SSD. 4x USB 3.0 y 6x USB 2.0</w:t>
      </w:r>
      <w:r>
        <w:rPr>
          <w:rFonts w:ascii="Hind107 Light" w:hAnsi="Hind107 Light" w:cs="Hind107 Light"/>
          <w:sz w:val="22"/>
          <w:szCs w:val="22"/>
          <w:lang w:val="es-ES"/>
        </w:rPr>
        <w:t xml:space="preserve"> </w:t>
      </w:r>
      <w:r w:rsidRPr="00505024">
        <w:rPr>
          <w:rFonts w:ascii="Hind107 Light" w:hAnsi="Hind107 Light" w:cs="Hind107 Light"/>
          <w:sz w:val="22"/>
          <w:szCs w:val="22"/>
          <w:lang w:val="es-ES"/>
        </w:rPr>
        <w:t xml:space="preserve">  están disponibles para la conexión de dispositivos periféricos adicionales; 2x Gigabit Ethernet y un</w:t>
      </w:r>
      <w:r w:rsidR="00E258CA">
        <w:rPr>
          <w:rFonts w:ascii="Hind107 Light" w:hAnsi="Hind107 Light" w:cs="Hind107 Light"/>
          <w:sz w:val="22"/>
          <w:szCs w:val="22"/>
          <w:lang w:val="es-ES"/>
        </w:rPr>
        <w:t xml:space="preserve"> socket para</w:t>
      </w:r>
      <w:r w:rsidRPr="00505024">
        <w:rPr>
          <w:rFonts w:ascii="Hind107 Light" w:hAnsi="Hind107 Light" w:cs="Hind107 Light"/>
          <w:sz w:val="22"/>
          <w:szCs w:val="22"/>
          <w:lang w:val="es-ES"/>
        </w:rPr>
        <w:t xml:space="preserve"> tarjeta SIM</w:t>
      </w:r>
      <w:r w:rsidR="00E258CA">
        <w:rPr>
          <w:rFonts w:ascii="Hind107 Light" w:hAnsi="Hind107 Light" w:cs="Hind107 Light"/>
          <w:sz w:val="22"/>
          <w:szCs w:val="22"/>
          <w:lang w:val="es-ES"/>
        </w:rPr>
        <w:t>,</w:t>
      </w:r>
      <w:r w:rsidRPr="00505024">
        <w:rPr>
          <w:rFonts w:ascii="Hind107 Light" w:hAnsi="Hind107 Light" w:cs="Hind107 Light"/>
          <w:sz w:val="22"/>
          <w:szCs w:val="22"/>
          <w:lang w:val="es-ES"/>
        </w:rPr>
        <w:t xml:space="preserve"> proporcionan conectividad M2M e IoT; y una interfaz MIPI CSI-2 permite la conexión directa de las cámaras CMOS de bajo coste. Otras interfaces industriales incluyen 2 puertos COM, uno de los cuales se pueden configurar como ccTalk, y 8x GPIO. Un módulo integrado de plataforma segura se ofrece como opción. Los discos duros y SSDs se pueden conectar a través de 2x SATA 3.0, 5.1 y también está disponible audio de alta definición digital 5.1 HD. Todos los sistemas operativos actuales de Linux y Microsoft Windows son compatibles, incluyendo Windows 10. También hay disponibles una amplia selección de complementos para facilitar el diseño, incluyendo las soluciones de </w:t>
      </w:r>
      <w:r w:rsidR="00E258CA">
        <w:rPr>
          <w:rFonts w:ascii="Hind107 Light" w:hAnsi="Hind107 Light" w:cs="Hind107 Light"/>
          <w:sz w:val="22"/>
          <w:szCs w:val="22"/>
          <w:lang w:val="es-ES"/>
        </w:rPr>
        <w:t xml:space="preserve">disipación y </w:t>
      </w:r>
      <w:r w:rsidRPr="00505024">
        <w:rPr>
          <w:rFonts w:ascii="Hind107 Light" w:hAnsi="Hind107 Light" w:cs="Hind107 Light"/>
          <w:sz w:val="22"/>
          <w:szCs w:val="22"/>
          <w:lang w:val="es-ES"/>
        </w:rPr>
        <w:t>refrigeración, paneles de E / S y juegos de cables.</w:t>
      </w:r>
    </w:p>
    <w:p w:rsidR="00A135A4" w:rsidRPr="00505024" w:rsidRDefault="00A135A4" w:rsidP="00482AEA">
      <w:pPr>
        <w:spacing w:line="360" w:lineRule="auto"/>
        <w:rPr>
          <w:rFonts w:ascii="Hind107 Light" w:hAnsi="Hind107 Light" w:cs="Hind107 Light"/>
          <w:sz w:val="22"/>
          <w:szCs w:val="22"/>
          <w:lang w:val="es-ES"/>
        </w:rPr>
      </w:pPr>
      <w:bookmarkStart w:id="0" w:name="_GoBack"/>
      <w:bookmarkEnd w:id="0"/>
    </w:p>
    <w:p w:rsidR="00A135A4" w:rsidRPr="00505024" w:rsidRDefault="00A135A4" w:rsidP="00482AEA">
      <w:pPr>
        <w:spacing w:line="360" w:lineRule="auto"/>
        <w:rPr>
          <w:rFonts w:ascii="Hind107 Light" w:hAnsi="Hind107 Light" w:cs="Hind107 Light"/>
          <w:sz w:val="22"/>
          <w:szCs w:val="22"/>
          <w:lang w:val="es-ES"/>
        </w:rPr>
      </w:pPr>
      <w:r w:rsidRPr="00505024">
        <w:rPr>
          <w:rFonts w:ascii="Hind107 Light" w:hAnsi="Hind107 Light" w:cs="Hind107 Light"/>
          <w:sz w:val="22"/>
          <w:szCs w:val="22"/>
          <w:lang w:val="es-ES"/>
        </w:rPr>
        <w:t>Para obtener más información acerca de las nuevas placas Thin Mini-ITX conga-IC170, visite:</w:t>
      </w:r>
    </w:p>
    <w:p w:rsidR="00A135A4" w:rsidRPr="00A135A4" w:rsidRDefault="00E258CA" w:rsidP="00482AEA">
      <w:pPr>
        <w:pStyle w:val="Standard1"/>
        <w:ind w:right="283"/>
        <w:rPr>
          <w:rFonts w:ascii="Hind Light" w:hAnsi="Hind Light" w:cs="Hind Light"/>
          <w:b/>
          <w:sz w:val="18"/>
          <w:szCs w:val="18"/>
          <w:lang w:val="es-ES"/>
        </w:rPr>
      </w:pPr>
      <w:hyperlink r:id="rId11" w:history="1">
        <w:r w:rsidR="00A135A4" w:rsidRPr="00A135A4">
          <w:rPr>
            <w:rStyle w:val="Hipervnculo"/>
            <w:rFonts w:ascii="Hind107 Light" w:eastAsia="Times New Roman" w:hAnsi="Hind107 Light" w:cs="Hind107 Light"/>
            <w:sz w:val="22"/>
            <w:szCs w:val="22"/>
            <w:lang w:val="es-ES"/>
          </w:rPr>
          <w:t>http://www.congatec.com/en/products/mini-itx/conga-ic170.html</w:t>
        </w:r>
      </w:hyperlink>
      <w:r w:rsidR="00A135A4" w:rsidRPr="00A135A4">
        <w:rPr>
          <w:rFonts w:ascii="Hind107 Light" w:eastAsia="Times New Roman" w:hAnsi="Hind107 Light" w:cs="Hind107 Light"/>
          <w:sz w:val="22"/>
          <w:szCs w:val="22"/>
          <w:lang w:val="es-ES"/>
        </w:rPr>
        <w:t xml:space="preserve"> </w:t>
      </w:r>
    </w:p>
    <w:p w:rsidR="00BD1046" w:rsidRPr="00113B1D" w:rsidRDefault="00BD1046" w:rsidP="00BD1046">
      <w:pPr>
        <w:spacing w:line="360" w:lineRule="auto"/>
        <w:rPr>
          <w:rFonts w:ascii="Hind107 Light" w:hAnsi="Hind107 Light" w:cs="Hind107 Light"/>
          <w:sz w:val="22"/>
          <w:szCs w:val="22"/>
          <w:lang w:val="es-ES"/>
        </w:rPr>
      </w:pPr>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Normal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2" w:history="1">
        <w:r w:rsidRPr="0035152D">
          <w:rPr>
            <w:rStyle w:val="Hipervnculo"/>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3" w:history="1">
        <w:r w:rsidRPr="0035152D">
          <w:rPr>
            <w:rStyle w:val="Hipervnculo"/>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4" w:history="1">
        <w:r w:rsidRPr="0035152D">
          <w:rPr>
            <w:rStyle w:val="Hipervnculo"/>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5" w:history="1">
        <w:r w:rsidRPr="0035152D">
          <w:rPr>
            <w:rStyle w:val="Hipervnculo"/>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Medium">
    <w:altName w:val="Times New Roman"/>
    <w:charset w:val="00"/>
    <w:family w:val="auto"/>
    <w:pitch w:val="variable"/>
    <w:sig w:usb0="00008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C"/>
    <w:rsid w:val="000869F6"/>
    <w:rsid w:val="000E736A"/>
    <w:rsid w:val="0010462C"/>
    <w:rsid w:val="00146618"/>
    <w:rsid w:val="00157343"/>
    <w:rsid w:val="001E2899"/>
    <w:rsid w:val="001E3E66"/>
    <w:rsid w:val="002018D7"/>
    <w:rsid w:val="00212286"/>
    <w:rsid w:val="002172C9"/>
    <w:rsid w:val="00256643"/>
    <w:rsid w:val="0026113E"/>
    <w:rsid w:val="002D625D"/>
    <w:rsid w:val="002F6BB9"/>
    <w:rsid w:val="0033437F"/>
    <w:rsid w:val="00341F3D"/>
    <w:rsid w:val="0035152D"/>
    <w:rsid w:val="003710B5"/>
    <w:rsid w:val="003910AD"/>
    <w:rsid w:val="003B6E70"/>
    <w:rsid w:val="003C5916"/>
    <w:rsid w:val="00482AEA"/>
    <w:rsid w:val="004D2177"/>
    <w:rsid w:val="005C6F13"/>
    <w:rsid w:val="005D48DA"/>
    <w:rsid w:val="005E693A"/>
    <w:rsid w:val="0063522F"/>
    <w:rsid w:val="00692E3F"/>
    <w:rsid w:val="0069359A"/>
    <w:rsid w:val="006C545F"/>
    <w:rsid w:val="006E5682"/>
    <w:rsid w:val="00700E83"/>
    <w:rsid w:val="00726A31"/>
    <w:rsid w:val="0073317C"/>
    <w:rsid w:val="00735068"/>
    <w:rsid w:val="00782B39"/>
    <w:rsid w:val="007F032A"/>
    <w:rsid w:val="007F10E7"/>
    <w:rsid w:val="00881B43"/>
    <w:rsid w:val="008D011F"/>
    <w:rsid w:val="00915B34"/>
    <w:rsid w:val="0092236E"/>
    <w:rsid w:val="0098707E"/>
    <w:rsid w:val="009977CF"/>
    <w:rsid w:val="009C65B6"/>
    <w:rsid w:val="009C67E6"/>
    <w:rsid w:val="00A12279"/>
    <w:rsid w:val="00A135A4"/>
    <w:rsid w:val="00A31EE8"/>
    <w:rsid w:val="00B033CF"/>
    <w:rsid w:val="00B27335"/>
    <w:rsid w:val="00B37B7A"/>
    <w:rsid w:val="00B86632"/>
    <w:rsid w:val="00BB0080"/>
    <w:rsid w:val="00BD1046"/>
    <w:rsid w:val="00BD1DEC"/>
    <w:rsid w:val="00C5246E"/>
    <w:rsid w:val="00C879B6"/>
    <w:rsid w:val="00CB44AE"/>
    <w:rsid w:val="00CC743E"/>
    <w:rsid w:val="00D06B9E"/>
    <w:rsid w:val="00D108AC"/>
    <w:rsid w:val="00DC0E48"/>
    <w:rsid w:val="00E258CA"/>
    <w:rsid w:val="00E258FB"/>
    <w:rsid w:val="00E40B37"/>
    <w:rsid w:val="00E529F9"/>
    <w:rsid w:val="00E570B4"/>
    <w:rsid w:val="00E70386"/>
    <w:rsid w:val="00E87EE2"/>
    <w:rsid w:val="00EC47A8"/>
    <w:rsid w:val="00F375AD"/>
    <w:rsid w:val="00F453DD"/>
    <w:rsid w:val="00F6326F"/>
    <w:rsid w:val="00F66DB8"/>
    <w:rsid w:val="00FA3174"/>
    <w:rsid w:val="00FE7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1504-F8CD-4E55-9A74-F01C407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tulo2">
    <w:name w:val="heading 2"/>
    <w:aliases w:val="Subheadline"/>
    <w:basedOn w:val="Normal"/>
    <w:next w:val="Normal"/>
    <w:link w:val="Ttulo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177"/>
    <w:rPr>
      <w:rFonts w:ascii="Arial" w:eastAsiaTheme="majorEastAsia" w:hAnsi="Arial" w:cstheme="majorBidi"/>
      <w:b/>
      <w:bCs/>
      <w:sz w:val="28"/>
      <w:szCs w:val="28"/>
    </w:rPr>
  </w:style>
  <w:style w:type="character" w:customStyle="1" w:styleId="Ttulo2Car">
    <w:name w:val="Título 2 Car"/>
    <w:aliases w:val="Subheadline Car"/>
    <w:basedOn w:val="Fuentedeprrafopredeter"/>
    <w:link w:val="Ttulo2"/>
    <w:uiPriority w:val="9"/>
    <w:semiHidden/>
    <w:rsid w:val="004D2177"/>
    <w:rPr>
      <w:rFonts w:ascii="Arial" w:eastAsiaTheme="majorEastAsia" w:hAnsi="Arial" w:cstheme="majorBidi"/>
      <w:bCs/>
      <w:i/>
      <w:sz w:val="24"/>
      <w:szCs w:val="26"/>
    </w:rPr>
  </w:style>
  <w:style w:type="paragraph" w:styleId="Puesto">
    <w:name w:val="Title"/>
    <w:basedOn w:val="Normal"/>
    <w:next w:val="Normal"/>
    <w:link w:val="Puesto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PuestoCar">
    <w:name w:val="Puesto Car"/>
    <w:basedOn w:val="Fuentedeprrafopredeter"/>
    <w:link w:val="Puesto"/>
    <w:uiPriority w:val="10"/>
    <w:rsid w:val="004D2177"/>
    <w:rPr>
      <w:rFonts w:ascii="Arial" w:eastAsiaTheme="majorEastAsia" w:hAnsi="Arial" w:cstheme="majorBidi"/>
      <w:b/>
      <w:spacing w:val="5"/>
      <w:kern w:val="28"/>
      <w:sz w:val="36"/>
      <w:szCs w:val="52"/>
    </w:rPr>
  </w:style>
  <w:style w:type="character" w:styleId="Hipervnculo">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Refdecomentario">
    <w:name w:val="annotation reference"/>
    <w:uiPriority w:val="99"/>
    <w:semiHidden/>
    <w:unhideWhenUsed/>
    <w:rsid w:val="00D108AC"/>
    <w:rPr>
      <w:sz w:val="16"/>
      <w:szCs w:val="16"/>
    </w:rPr>
  </w:style>
  <w:style w:type="paragraph" w:styleId="Textocomentario">
    <w:name w:val="annotation text"/>
    <w:basedOn w:val="Normal"/>
    <w:link w:val="TextocomentarioCar"/>
    <w:uiPriority w:val="99"/>
    <w:unhideWhenUsed/>
    <w:rsid w:val="00D108AC"/>
    <w:rPr>
      <w:sz w:val="20"/>
      <w:szCs w:val="20"/>
    </w:rPr>
  </w:style>
  <w:style w:type="character" w:customStyle="1" w:styleId="TextocomentarioCar">
    <w:name w:val="Texto comentario Car"/>
    <w:basedOn w:val="Fuentedeprrafopredeter"/>
    <w:link w:val="Textocomentario"/>
    <w:uiPriority w:val="99"/>
    <w:rsid w:val="00D108AC"/>
    <w:rPr>
      <w:rFonts w:ascii="Times New Roman" w:eastAsia="Times New Roman" w:hAnsi="Times New Roman" w:cs="Times New Roman"/>
      <w:kern w:val="1"/>
      <w:sz w:val="20"/>
      <w:szCs w:val="20"/>
      <w:lang w:eastAsia="ar-SA"/>
    </w:rPr>
  </w:style>
  <w:style w:type="paragraph" w:styleId="Textodeglobo">
    <w:name w:val="Balloon Text"/>
    <w:basedOn w:val="Normal"/>
    <w:link w:val="TextodegloboCar"/>
    <w:uiPriority w:val="99"/>
    <w:semiHidden/>
    <w:unhideWhenUsed/>
    <w:rsid w:val="00D108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8AC"/>
    <w:rPr>
      <w:rFonts w:ascii="Tahoma" w:eastAsia="Times New Roman" w:hAnsi="Tahoma" w:cs="Tahoma"/>
      <w:kern w:val="1"/>
      <w:sz w:val="16"/>
      <w:szCs w:val="16"/>
      <w:lang w:eastAsia="ar-SA"/>
    </w:rPr>
  </w:style>
  <w:style w:type="paragraph" w:styleId="Asuntodelcomentario">
    <w:name w:val="annotation subject"/>
    <w:basedOn w:val="Textocomentario"/>
    <w:next w:val="Textocomentario"/>
    <w:link w:val="AsuntodelcomentarioCar"/>
    <w:uiPriority w:val="99"/>
    <w:semiHidden/>
    <w:unhideWhenUsed/>
    <w:rsid w:val="009C67E6"/>
    <w:rPr>
      <w:b/>
      <w:bCs/>
    </w:rPr>
  </w:style>
  <w:style w:type="character" w:customStyle="1" w:styleId="AsuntodelcomentarioCar">
    <w:name w:val="Asunto del comentario Car"/>
    <w:basedOn w:val="TextocomentarioCar"/>
    <w:link w:val="Asuntodelcomentario"/>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ormalWeb">
    <w:name w:val="Normal (Web)"/>
    <w:basedOn w:val="Normal"/>
    <w:uiPriority w:val="99"/>
    <w:rsid w:val="001E2899"/>
    <w:pPr>
      <w:suppressAutoHyphens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h"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mini-itx/conga-ic1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h"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Mari Carmen Tarrío</cp:lastModifiedBy>
  <cp:revision>2</cp:revision>
  <dcterms:created xsi:type="dcterms:W3CDTF">2016-03-08T14:14:00Z</dcterms:created>
  <dcterms:modified xsi:type="dcterms:W3CDTF">2016-03-08T14:14:00Z</dcterms:modified>
</cp:coreProperties>
</file>