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3B25DF">
      <w:pPr>
        <w:rPr>
          <w:rFonts w:ascii="Arial" w:hAnsi="Arial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 wp14:anchorId="4E45D476" wp14:editId="67F4916D">
            <wp:simplePos x="0" y="0"/>
            <wp:positionH relativeFrom="column">
              <wp:posOffset>3608070</wp:posOffset>
            </wp:positionH>
            <wp:positionV relativeFrom="paragraph">
              <wp:posOffset>-314325</wp:posOffset>
            </wp:positionV>
            <wp:extent cx="2178050" cy="48006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03"/>
        <w:gridCol w:w="2666"/>
        <w:gridCol w:w="2526"/>
        <w:gridCol w:w="69"/>
      </w:tblGrid>
      <w:tr w:rsidR="00074501" w:rsidRPr="00EA1B12" w:rsidTr="009B6626">
        <w:trPr>
          <w:gridBefore w:val="1"/>
          <w:trHeight w:val="270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  <w:gridSpan w:val="2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  <w:gridSpan w:val="2"/>
          </w:tcPr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4F2208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Default="006E0FAF" w:rsidP="006E0FAF">
      <w:pPr>
        <w:rPr>
          <w:rFonts w:ascii="Arial" w:hAnsi="Arial" w:cs="Arial"/>
          <w:i/>
          <w:sz w:val="18"/>
          <w:szCs w:val="18"/>
          <w:lang w:val="fr-FR"/>
        </w:rPr>
      </w:pPr>
    </w:p>
    <w:p w:rsidR="006E0FAF" w:rsidRDefault="006E0FAF" w:rsidP="006E0FAF"/>
    <w:p w:rsidR="003660C2" w:rsidRPr="00CD587B" w:rsidRDefault="004F2208" w:rsidP="006E0FAF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i/>
          <w:noProof/>
          <w:sz w:val="22"/>
          <w:szCs w:val="22"/>
          <w:lang w:eastAsia="de-DE"/>
        </w:rPr>
        <w:drawing>
          <wp:inline distT="0" distB="0" distL="0" distR="0">
            <wp:extent cx="1980000" cy="1429200"/>
            <wp:effectExtent l="0" t="0" r="1270" b="0"/>
            <wp:docPr id="2" name="Grafik 2" descr="F:\MarCom\Press\PR\2014\PR170 Matthias Klein Vorstand\Matthias Klein und Gerhard Edi v2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ess\PR\2014\PR170 Matthias Klein Vorstand\Matthias Klein und Gerhard Edi v2 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AF" w:rsidRDefault="006E0FAF" w:rsidP="00C83F0E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C83F0E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6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:rsidR="00EE32AF" w:rsidRPr="00DE7D0B" w:rsidRDefault="00EE32AF" w:rsidP="00C83F0E">
      <w:pPr>
        <w:rPr>
          <w:rFonts w:ascii="Arial" w:hAnsi="Arial" w:cs="Arial"/>
          <w:i/>
          <w:sz w:val="18"/>
          <w:szCs w:val="18"/>
          <w:lang w:val="fr-FR"/>
        </w:rPr>
      </w:pPr>
    </w:p>
    <w:p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>Press Relea</w:t>
      </w:r>
      <w:r w:rsidRPr="0092094C">
        <w:rPr>
          <w:color w:val="000000" w:themeColor="text1"/>
          <w:lang w:val="en-US"/>
        </w:rPr>
        <w:t>s</w:t>
      </w:r>
      <w:r w:rsidR="007E504B" w:rsidRPr="0092094C">
        <w:rPr>
          <w:color w:val="000000" w:themeColor="text1"/>
          <w:lang w:val="en-US"/>
        </w:rPr>
        <w:t xml:space="preserve">e </w:t>
      </w:r>
      <w:r w:rsidR="00C83F0E" w:rsidRPr="00C83F0E">
        <w:rPr>
          <w:lang w:val="en-US"/>
        </w:rPr>
        <w:t>12</w:t>
      </w:r>
      <w:r w:rsidR="0092094C" w:rsidRPr="00C83F0E">
        <w:rPr>
          <w:lang w:val="en-US"/>
        </w:rPr>
        <w:t>/</w:t>
      </w:r>
      <w:r w:rsidR="0097085A" w:rsidRPr="0092094C">
        <w:rPr>
          <w:color w:val="000000" w:themeColor="text1"/>
          <w:lang w:val="en-US"/>
        </w:rPr>
        <w:t>2</w:t>
      </w:r>
      <w:r w:rsidR="0097085A">
        <w:rPr>
          <w:lang w:val="en-US"/>
        </w:rPr>
        <w:t>014</w:t>
      </w:r>
    </w:p>
    <w:p w:rsidR="008961E1" w:rsidRPr="00D92B74" w:rsidRDefault="00A00FFE" w:rsidP="002A5CBD">
      <w:pPr>
        <w:autoSpaceDE w:val="0"/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proofErr w:type="gramStart"/>
      <w:r w:rsidRPr="00A00FFE">
        <w:rPr>
          <w:rFonts w:ascii="Arial" w:hAnsi="Arial" w:cs="Arial"/>
          <w:b/>
          <w:sz w:val="28"/>
          <w:szCs w:val="28"/>
          <w:lang w:val="en-GB"/>
        </w:rPr>
        <w:t>congatec</w:t>
      </w:r>
      <w:proofErr w:type="gramEnd"/>
      <w:r w:rsidRPr="00A00FFE">
        <w:rPr>
          <w:rFonts w:ascii="Arial" w:hAnsi="Arial" w:cs="Arial"/>
          <w:b/>
          <w:sz w:val="28"/>
          <w:szCs w:val="28"/>
          <w:lang w:val="en-GB"/>
        </w:rPr>
        <w:t xml:space="preserve"> AG appoints Matthias Klein to</w:t>
      </w:r>
      <w:r w:rsidR="00E13AD9">
        <w:rPr>
          <w:rFonts w:ascii="Arial" w:hAnsi="Arial" w:cs="Arial"/>
          <w:b/>
          <w:sz w:val="28"/>
          <w:szCs w:val="28"/>
          <w:lang w:val="en-GB"/>
        </w:rPr>
        <w:t xml:space="preserve"> the</w:t>
      </w:r>
      <w:r w:rsidRPr="00A00FF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92B74" w:rsidRPr="00D92B74">
        <w:rPr>
          <w:rFonts w:ascii="Arial" w:hAnsi="Arial" w:cs="Arial"/>
          <w:b/>
          <w:sz w:val="28"/>
          <w:szCs w:val="28"/>
          <w:lang w:val="en-GB"/>
        </w:rPr>
        <w:t>Executive Board</w:t>
      </w:r>
    </w:p>
    <w:bookmarkEnd w:id="0"/>
    <w:p w:rsidR="00A00FFE" w:rsidRPr="00A00FFE" w:rsidRDefault="00FE1BFD" w:rsidP="00A0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790529">
        <w:rPr>
          <w:rFonts w:ascii="Arial" w:hAnsi="Arial" w:cs="Arial"/>
          <w:b/>
          <w:sz w:val="22"/>
          <w:szCs w:val="22"/>
          <w:lang w:val="en-US"/>
        </w:rPr>
        <w:t>Deggendorf</w:t>
      </w:r>
      <w:proofErr w:type="spellEnd"/>
      <w:r w:rsidR="001B7853" w:rsidRPr="0079052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9F21DF" w:rsidRPr="00790529">
        <w:rPr>
          <w:rFonts w:ascii="Arial" w:hAnsi="Arial" w:cs="Arial"/>
          <w:b/>
          <w:sz w:val="22"/>
          <w:szCs w:val="22"/>
          <w:lang w:val="en-US"/>
        </w:rPr>
        <w:t>German</w:t>
      </w:r>
      <w:r w:rsidR="009F21DF" w:rsidRPr="0079052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y, </w:t>
      </w:r>
      <w:r w:rsidR="00C83F0E" w:rsidRPr="00C83F0E">
        <w:rPr>
          <w:rFonts w:ascii="Arial" w:hAnsi="Arial" w:cs="Arial"/>
          <w:b/>
          <w:sz w:val="22"/>
          <w:szCs w:val="22"/>
          <w:lang w:val="en-US"/>
        </w:rPr>
        <w:t>25</w:t>
      </w:r>
      <w:r w:rsidR="008C0281" w:rsidRPr="00C83F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00FF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August</w:t>
      </w:r>
      <w:r w:rsidR="00A86ABF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B4A1B" w:rsidRPr="00790529">
        <w:rPr>
          <w:rFonts w:ascii="Arial" w:hAnsi="Arial" w:cs="Arial"/>
          <w:b/>
          <w:sz w:val="22"/>
          <w:szCs w:val="22"/>
          <w:lang w:val="en-US"/>
        </w:rPr>
        <w:t>2014</w:t>
      </w:r>
      <w:r w:rsidRPr="00790529">
        <w:rPr>
          <w:rFonts w:ascii="Arial" w:hAnsi="Arial" w:cs="Arial"/>
          <w:b/>
          <w:sz w:val="22"/>
          <w:szCs w:val="22"/>
          <w:lang w:val="en-US"/>
        </w:rPr>
        <w:t xml:space="preserve"> 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A00FFE">
        <w:rPr>
          <w:rFonts w:ascii="Arial" w:hAnsi="Arial" w:cs="Arial"/>
          <w:sz w:val="22"/>
          <w:szCs w:val="22"/>
          <w:lang w:val="en-US"/>
        </w:rPr>
        <w:t xml:space="preserve"> congatec AG </w:t>
      </w:r>
      <w:r w:rsidR="00A00FFE" w:rsidRPr="00A00FFE">
        <w:rPr>
          <w:rFonts w:ascii="Arial" w:hAnsi="Arial" w:cs="Arial"/>
          <w:sz w:val="22"/>
          <w:szCs w:val="22"/>
          <w:lang w:val="en-GB"/>
        </w:rPr>
        <w:t>announces the appointment of Ma</w:t>
      </w:r>
      <w:r w:rsidR="00D92B74">
        <w:rPr>
          <w:rFonts w:ascii="Arial" w:hAnsi="Arial" w:cs="Arial"/>
          <w:sz w:val="22"/>
          <w:szCs w:val="22"/>
          <w:lang w:val="en-GB"/>
        </w:rPr>
        <w:t>tthias Klein as Chief Operating</w:t>
      </w:r>
      <w:r w:rsidR="00A00FFE" w:rsidRPr="00A00FFE">
        <w:rPr>
          <w:rFonts w:ascii="Arial" w:hAnsi="Arial" w:cs="Arial"/>
          <w:sz w:val="22"/>
          <w:szCs w:val="22"/>
          <w:lang w:val="en-GB"/>
        </w:rPr>
        <w:t xml:space="preserve"> Officer (COO) and member of the </w:t>
      </w:r>
      <w:r w:rsidR="00D92B74" w:rsidRPr="00D92B74">
        <w:rPr>
          <w:rFonts w:ascii="Arial" w:hAnsi="Arial" w:cs="Arial"/>
          <w:sz w:val="22"/>
          <w:szCs w:val="22"/>
          <w:lang w:val="en-GB"/>
        </w:rPr>
        <w:t>Executive Board</w:t>
      </w:r>
      <w:r w:rsidR="00A00FFE" w:rsidRPr="00A00FFE">
        <w:rPr>
          <w:rFonts w:ascii="Arial" w:hAnsi="Arial" w:cs="Arial"/>
          <w:sz w:val="22"/>
          <w:szCs w:val="22"/>
          <w:lang w:val="en-GB"/>
        </w:rPr>
        <w:t>.</w:t>
      </w:r>
    </w:p>
    <w:p w:rsidR="00A00FFE" w:rsidRPr="00A00FFE" w:rsidRDefault="00A00FFE" w:rsidP="00C8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Arial" w:hAnsi="Arial" w:cs="Arial"/>
          <w:sz w:val="22"/>
          <w:szCs w:val="22"/>
          <w:lang w:val="en-GB"/>
        </w:rPr>
      </w:pPr>
      <w:r w:rsidRPr="00A00FFE">
        <w:rPr>
          <w:rFonts w:ascii="Arial" w:hAnsi="Arial" w:cs="Arial"/>
          <w:sz w:val="22"/>
          <w:szCs w:val="22"/>
          <w:lang w:val="en-GB"/>
        </w:rPr>
        <w:t xml:space="preserve">Matthias Klein, who has worked as VP </w:t>
      </w:r>
      <w:r w:rsidR="00EF5A57">
        <w:rPr>
          <w:rFonts w:ascii="Arial" w:hAnsi="Arial" w:cs="Arial"/>
          <w:sz w:val="22"/>
          <w:szCs w:val="22"/>
          <w:lang w:val="en-GB"/>
        </w:rPr>
        <w:t xml:space="preserve">of 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Operations at congatec since May 2013, </w:t>
      </w:r>
      <w:r w:rsidR="00E25CE8">
        <w:rPr>
          <w:rFonts w:ascii="Arial" w:hAnsi="Arial" w:cs="Arial"/>
          <w:sz w:val="22"/>
          <w:szCs w:val="22"/>
          <w:lang w:val="en-GB"/>
        </w:rPr>
        <w:t>joins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CEO Gerhard Edi on the Board with immediate effect. While Ger</w:t>
      </w:r>
      <w:r w:rsidR="007A2145">
        <w:rPr>
          <w:rFonts w:ascii="Arial" w:hAnsi="Arial" w:cs="Arial"/>
          <w:sz w:val="22"/>
          <w:szCs w:val="22"/>
          <w:lang w:val="en-GB"/>
        </w:rPr>
        <w:t xml:space="preserve">hard Edi focusses on </w:t>
      </w:r>
      <w:r w:rsidR="00E20C4D">
        <w:rPr>
          <w:rFonts w:ascii="Arial" w:hAnsi="Arial" w:cs="Arial"/>
          <w:sz w:val="22"/>
          <w:szCs w:val="22"/>
          <w:lang w:val="en-GB"/>
        </w:rPr>
        <w:t xml:space="preserve">matters of </w:t>
      </w:r>
      <w:r w:rsidR="007A2145">
        <w:rPr>
          <w:rFonts w:ascii="Arial" w:hAnsi="Arial" w:cs="Arial"/>
          <w:sz w:val="22"/>
          <w:szCs w:val="22"/>
          <w:lang w:val="en-GB"/>
        </w:rPr>
        <w:t>technology and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finance, Matthias Klein concentrate</w:t>
      </w:r>
      <w:r w:rsidR="00E25CE8">
        <w:rPr>
          <w:rFonts w:ascii="Arial" w:hAnsi="Arial" w:cs="Arial"/>
          <w:sz w:val="22"/>
          <w:szCs w:val="22"/>
          <w:lang w:val="en-GB"/>
        </w:rPr>
        <w:t>s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on operations and sales. </w:t>
      </w:r>
    </w:p>
    <w:p w:rsidR="00A00FFE" w:rsidRPr="00A00FFE" w:rsidRDefault="00A00FFE" w:rsidP="00C8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Arial" w:hAnsi="Arial" w:cs="Arial"/>
          <w:sz w:val="22"/>
          <w:szCs w:val="22"/>
          <w:lang w:val="en-GB"/>
        </w:rPr>
      </w:pPr>
      <w:r w:rsidRPr="00A00FFE">
        <w:rPr>
          <w:rFonts w:ascii="Arial" w:hAnsi="Arial" w:cs="Arial"/>
          <w:sz w:val="22"/>
          <w:szCs w:val="22"/>
          <w:lang w:val="en-GB"/>
        </w:rPr>
        <w:t xml:space="preserve">Prior to joining congatec, Matthias Klein worked for over 16 years at </w:t>
      </w:r>
      <w:proofErr w:type="spellStart"/>
      <w:r w:rsidRPr="00A00FFE">
        <w:rPr>
          <w:rFonts w:ascii="Arial" w:hAnsi="Arial" w:cs="Arial"/>
          <w:sz w:val="22"/>
          <w:szCs w:val="22"/>
          <w:lang w:val="en-GB"/>
        </w:rPr>
        <w:t>Zollner</w:t>
      </w:r>
      <w:proofErr w:type="spellEnd"/>
      <w:r w:rsidRPr="00A00FF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00FFE">
        <w:rPr>
          <w:rFonts w:ascii="Arial" w:hAnsi="Arial" w:cs="Arial"/>
          <w:sz w:val="22"/>
          <w:szCs w:val="22"/>
          <w:lang w:val="en-GB"/>
        </w:rPr>
        <w:t>Elektronik</w:t>
      </w:r>
      <w:proofErr w:type="spellEnd"/>
      <w:r w:rsidRPr="00A00FFE">
        <w:rPr>
          <w:rFonts w:ascii="Arial" w:hAnsi="Arial" w:cs="Arial"/>
          <w:sz w:val="22"/>
          <w:szCs w:val="22"/>
          <w:lang w:val="en-GB"/>
        </w:rPr>
        <w:t xml:space="preserve"> AG, Europe's largest EMS provider with </w:t>
      </w:r>
      <w:r w:rsidR="00E13AD9">
        <w:rPr>
          <w:rFonts w:ascii="Arial" w:hAnsi="Arial" w:cs="Arial"/>
          <w:sz w:val="22"/>
          <w:szCs w:val="22"/>
          <w:lang w:val="en-GB"/>
        </w:rPr>
        <w:t xml:space="preserve">its 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headquarters in Germany, where he gained experience in the production of advanced electronics. In his most recent position </w:t>
      </w:r>
      <w:r w:rsidR="00E25CE8">
        <w:rPr>
          <w:rFonts w:ascii="Arial" w:hAnsi="Arial" w:cs="Arial"/>
          <w:sz w:val="22"/>
          <w:szCs w:val="22"/>
          <w:lang w:val="en-GB"/>
        </w:rPr>
        <w:t xml:space="preserve">at </w:t>
      </w:r>
      <w:proofErr w:type="spellStart"/>
      <w:r w:rsidR="00E25CE8">
        <w:rPr>
          <w:rFonts w:ascii="Arial" w:hAnsi="Arial" w:cs="Arial"/>
          <w:sz w:val="22"/>
          <w:szCs w:val="22"/>
          <w:lang w:val="en-GB"/>
        </w:rPr>
        <w:t>Zollner</w:t>
      </w:r>
      <w:proofErr w:type="spellEnd"/>
      <w:r w:rsidR="00E25CE8">
        <w:rPr>
          <w:rFonts w:ascii="Arial" w:hAnsi="Arial" w:cs="Arial"/>
          <w:sz w:val="22"/>
          <w:szCs w:val="22"/>
          <w:lang w:val="en-GB"/>
        </w:rPr>
        <w:t xml:space="preserve"> </w:t>
      </w:r>
      <w:r w:rsidRPr="00A00FFE">
        <w:rPr>
          <w:rFonts w:ascii="Arial" w:hAnsi="Arial" w:cs="Arial"/>
          <w:sz w:val="22"/>
          <w:szCs w:val="22"/>
          <w:lang w:val="en-GB"/>
        </w:rPr>
        <w:t>as VP</w:t>
      </w:r>
      <w:r w:rsidR="00EF5A57">
        <w:rPr>
          <w:rFonts w:ascii="Arial" w:hAnsi="Arial" w:cs="Arial"/>
          <w:sz w:val="22"/>
          <w:szCs w:val="22"/>
          <w:lang w:val="en-GB"/>
        </w:rPr>
        <w:t xml:space="preserve"> of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Operations, he had technical and commercial responsibility for four production sites in Germany, Eastern Europe and Asia. Besides customer satisfaction, his focal points included global procurement and supply chain management. </w:t>
      </w:r>
    </w:p>
    <w:p w:rsidR="00A00FFE" w:rsidRPr="00A00FFE" w:rsidRDefault="00A00FFE" w:rsidP="00A0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A00FFE">
        <w:rPr>
          <w:rFonts w:ascii="Arial" w:hAnsi="Arial" w:cs="Arial"/>
          <w:sz w:val="22"/>
          <w:szCs w:val="22"/>
          <w:lang w:val="en-GB"/>
        </w:rPr>
        <w:t xml:space="preserve">In his new role as a member of the </w:t>
      </w:r>
      <w:r w:rsidR="00D92B74" w:rsidRPr="00D92B74">
        <w:rPr>
          <w:rFonts w:ascii="Arial" w:hAnsi="Arial" w:cs="Arial"/>
          <w:sz w:val="22"/>
          <w:szCs w:val="22"/>
          <w:lang w:val="en-GB"/>
        </w:rPr>
        <w:t>Executive Board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, Matthias Klein will drive the continued expansion of </w:t>
      </w:r>
      <w:proofErr w:type="spellStart"/>
      <w:r w:rsidRPr="00A00FFE">
        <w:rPr>
          <w:rFonts w:ascii="Arial" w:hAnsi="Arial" w:cs="Arial"/>
          <w:sz w:val="22"/>
          <w:szCs w:val="22"/>
          <w:lang w:val="en-GB"/>
        </w:rPr>
        <w:t>congatec's</w:t>
      </w:r>
      <w:proofErr w:type="spellEnd"/>
      <w:r w:rsidRPr="00A00FFE">
        <w:rPr>
          <w:rFonts w:ascii="Arial" w:hAnsi="Arial" w:cs="Arial"/>
          <w:sz w:val="22"/>
          <w:szCs w:val="22"/>
          <w:lang w:val="en-GB"/>
        </w:rPr>
        <w:t xml:space="preserve"> international business. "By establishing additional international EMS services and optimizing production in our target regions, we will soon be in a position to offer our customers even more flexibility. In this newly created position, I can use my experience and ideas better and I look forward to helping congatec speed its success," says Matthias Klein. </w:t>
      </w:r>
    </w:p>
    <w:p w:rsidR="008961E1" w:rsidRPr="00C47C3F" w:rsidRDefault="00A00FFE" w:rsidP="00A0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 w:rsidRPr="00A00FFE">
        <w:rPr>
          <w:rFonts w:ascii="Arial" w:hAnsi="Arial" w:cs="Arial"/>
          <w:sz w:val="22"/>
          <w:szCs w:val="22"/>
          <w:lang w:val="en-GB"/>
        </w:rPr>
        <w:lastRenderedPageBreak/>
        <w:t>"The appointment of M</w:t>
      </w:r>
      <w:r w:rsidR="00E25CE8">
        <w:rPr>
          <w:rFonts w:ascii="Arial" w:hAnsi="Arial" w:cs="Arial"/>
          <w:sz w:val="22"/>
          <w:szCs w:val="22"/>
          <w:lang w:val="en-GB"/>
        </w:rPr>
        <w:t xml:space="preserve">atthias Klein to the Board reflects 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our continued growth. Together, we will drive the strategic expansion of our product portfolio forward, embracing new technologies such as the Internet of Things and </w:t>
      </w:r>
      <w:r w:rsidR="00D92B74">
        <w:rPr>
          <w:rFonts w:ascii="Arial" w:hAnsi="Arial" w:cs="Arial"/>
          <w:sz w:val="22"/>
          <w:szCs w:val="22"/>
          <w:lang w:val="en-GB"/>
        </w:rPr>
        <w:t>Industry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4.0. With the help of </w:t>
      </w:r>
      <w:r w:rsidR="00E13AD9">
        <w:rPr>
          <w:rFonts w:ascii="Arial" w:hAnsi="Arial" w:cs="Arial"/>
          <w:sz w:val="22"/>
          <w:szCs w:val="22"/>
          <w:lang w:val="en-GB"/>
        </w:rPr>
        <w:t>our</w:t>
      </w:r>
      <w:r w:rsidRPr="00A00FFE">
        <w:rPr>
          <w:rFonts w:ascii="Arial" w:hAnsi="Arial" w:cs="Arial"/>
          <w:sz w:val="22"/>
          <w:szCs w:val="22"/>
          <w:lang w:val="en-GB"/>
        </w:rPr>
        <w:t xml:space="preserve"> 170 employees, we will continue to perpetuate the congatec success story into the future," comments congatec CEO Gerhard Edi.</w:t>
      </w:r>
    </w:p>
    <w:p w:rsidR="00AA4B26" w:rsidRPr="00B5655E" w:rsidRDefault="00AA4B26" w:rsidP="00B5655E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435B8F" w:rsidRPr="0092094C" w:rsidRDefault="00435B8F" w:rsidP="0092094C">
      <w:pPr>
        <w:rPr>
          <w:rFonts w:ascii="Arial" w:hAnsi="Arial" w:cs="Arial"/>
          <w:lang w:val="en-US"/>
        </w:rPr>
      </w:pPr>
    </w:p>
    <w:p w:rsidR="009F5E2E" w:rsidRPr="009D7097" w:rsidRDefault="009F5E2E" w:rsidP="009D7097">
      <w:pPr>
        <w:rPr>
          <w:lang w:val="en-US"/>
        </w:rPr>
      </w:pPr>
      <w:r w:rsidRPr="00452A47">
        <w:rPr>
          <w:rFonts w:ascii="Arial" w:hAnsi="Arial" w:cs="Arial"/>
          <w:b/>
          <w:bCs/>
          <w:sz w:val="22"/>
          <w:szCs w:val="22"/>
          <w:lang w:val="en-US"/>
        </w:rPr>
        <w:t>About congatec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52A47">
        <w:rPr>
          <w:rFonts w:ascii="Arial" w:hAnsi="Arial" w:cs="Arial"/>
          <w:sz w:val="22"/>
          <w:szCs w:val="22"/>
          <w:lang w:val="en-US"/>
        </w:rPr>
        <w:t xml:space="preserve">congatec AG has its head office in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Deggendorf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>, Germany and is a leading supplier of industrial computer modules using the standard form factors Qseven, COM Express, XTX and ETX</w:t>
      </w:r>
      <w:r w:rsidR="005F7B76">
        <w:rPr>
          <w:rFonts w:ascii="Arial" w:hAnsi="Arial" w:cs="Arial"/>
          <w:sz w:val="22"/>
          <w:szCs w:val="22"/>
          <w:lang w:val="en-US"/>
        </w:rPr>
        <w:t xml:space="preserve">, </w:t>
      </w:r>
      <w:r w:rsidR="005D48FE">
        <w:rPr>
          <w:rFonts w:ascii="Arial" w:hAnsi="Arial" w:cs="Arial"/>
          <w:sz w:val="22"/>
          <w:szCs w:val="22"/>
          <w:lang w:val="en-US"/>
        </w:rPr>
        <w:t>a</w:t>
      </w:r>
      <w:r w:rsidR="00013B4A">
        <w:rPr>
          <w:rFonts w:ascii="Arial" w:hAnsi="Arial" w:cs="Arial"/>
          <w:sz w:val="22"/>
          <w:szCs w:val="22"/>
          <w:lang w:val="en-US"/>
        </w:rPr>
        <w:t xml:space="preserve">s well as </w:t>
      </w:r>
      <w:r w:rsidR="005D48FE">
        <w:rPr>
          <w:rFonts w:ascii="Arial" w:hAnsi="Arial" w:cs="Arial"/>
          <w:sz w:val="22"/>
          <w:szCs w:val="22"/>
          <w:lang w:val="en-US"/>
        </w:rPr>
        <w:t>Single Board Computers (SBC)</w:t>
      </w:r>
      <w:r w:rsidR="00013B4A">
        <w:rPr>
          <w:rFonts w:ascii="Arial" w:hAnsi="Arial" w:cs="Arial"/>
          <w:sz w:val="22"/>
          <w:szCs w:val="22"/>
          <w:lang w:val="en-US"/>
        </w:rPr>
        <w:t xml:space="preserve"> and ODM services</w:t>
      </w:r>
      <w:r w:rsidRPr="00452A4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452A4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proofErr w:type="gramEnd"/>
      <w:r w:rsidRPr="00452A47">
        <w:rPr>
          <w:rFonts w:ascii="Arial" w:hAnsi="Arial" w:cs="Arial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</w:t>
      </w:r>
      <w:r w:rsidR="00A00FFE" w:rsidRPr="00C83F0E">
        <w:rPr>
          <w:rFonts w:ascii="Arial" w:hAnsi="Arial" w:cs="Arial"/>
          <w:sz w:val="22"/>
          <w:szCs w:val="22"/>
          <w:lang w:val="en-US"/>
        </w:rPr>
        <w:t>17</w:t>
      </w:r>
      <w:r w:rsidRPr="00C83F0E">
        <w:rPr>
          <w:rFonts w:ascii="Arial" w:hAnsi="Arial" w:cs="Arial"/>
          <w:sz w:val="22"/>
          <w:szCs w:val="22"/>
          <w:lang w:val="en-US"/>
        </w:rPr>
        <w:t xml:space="preserve">0 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>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USA,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the Czech Republic. More information is available on our website at </w:t>
      </w:r>
      <w:hyperlink r:id="rId17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8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19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="009D7097"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="009D7097"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20" w:history="1">
        <w:r w:rsidR="009D7097"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="009D7097" w:rsidRPr="009D7097">
        <w:rPr>
          <w:rFonts w:ascii="Arial" w:hAnsi="Arial" w:cs="Arial"/>
          <w:sz w:val="22"/>
          <w:szCs w:val="22"/>
          <w:lang w:val="en-GB"/>
        </w:rPr>
        <w:t>.</w:t>
      </w:r>
    </w:p>
    <w:p w:rsidR="00C90FC6" w:rsidRPr="00452A47" w:rsidRDefault="00C90FC6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</w:p>
    <w:p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80" w:rsidRDefault="00175D80" w:rsidP="00FE6154">
      <w:r>
        <w:separator/>
      </w:r>
    </w:p>
  </w:endnote>
  <w:endnote w:type="continuationSeparator" w:id="0">
    <w:p w:rsidR="00175D80" w:rsidRDefault="00175D80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80" w:rsidRDefault="00175D80" w:rsidP="00FE6154">
      <w:r>
        <w:separator/>
      </w:r>
    </w:p>
  </w:footnote>
  <w:footnote w:type="continuationSeparator" w:id="0">
    <w:p w:rsidR="00175D80" w:rsidRDefault="00175D80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21" w:rsidRDefault="00561A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2AF4"/>
    <w:rsid w:val="00106386"/>
    <w:rsid w:val="00110FAD"/>
    <w:rsid w:val="001137E5"/>
    <w:rsid w:val="00124C33"/>
    <w:rsid w:val="00137807"/>
    <w:rsid w:val="001534E6"/>
    <w:rsid w:val="00175D80"/>
    <w:rsid w:val="0018506E"/>
    <w:rsid w:val="00197695"/>
    <w:rsid w:val="001A0BD4"/>
    <w:rsid w:val="001A6ADD"/>
    <w:rsid w:val="001B7853"/>
    <w:rsid w:val="001C3873"/>
    <w:rsid w:val="001C797B"/>
    <w:rsid w:val="001E712C"/>
    <w:rsid w:val="001F4B4E"/>
    <w:rsid w:val="002009D5"/>
    <w:rsid w:val="00201FDD"/>
    <w:rsid w:val="0020653D"/>
    <w:rsid w:val="0021529F"/>
    <w:rsid w:val="0022159D"/>
    <w:rsid w:val="0022528A"/>
    <w:rsid w:val="002334FE"/>
    <w:rsid w:val="00233549"/>
    <w:rsid w:val="002664A8"/>
    <w:rsid w:val="00287EDF"/>
    <w:rsid w:val="002925F6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F0DE8"/>
    <w:rsid w:val="002F6E27"/>
    <w:rsid w:val="003041F0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6689"/>
    <w:rsid w:val="003E6A82"/>
    <w:rsid w:val="0040106C"/>
    <w:rsid w:val="004112BC"/>
    <w:rsid w:val="0041227B"/>
    <w:rsid w:val="00416C80"/>
    <w:rsid w:val="00423E30"/>
    <w:rsid w:val="00430470"/>
    <w:rsid w:val="00435B8F"/>
    <w:rsid w:val="00443475"/>
    <w:rsid w:val="00447A94"/>
    <w:rsid w:val="00447BED"/>
    <w:rsid w:val="00471579"/>
    <w:rsid w:val="00491418"/>
    <w:rsid w:val="004A0CDB"/>
    <w:rsid w:val="004A346D"/>
    <w:rsid w:val="004A5548"/>
    <w:rsid w:val="004A724B"/>
    <w:rsid w:val="004E0428"/>
    <w:rsid w:val="004F2208"/>
    <w:rsid w:val="004F5C1B"/>
    <w:rsid w:val="00510EBF"/>
    <w:rsid w:val="0051162D"/>
    <w:rsid w:val="00512A7E"/>
    <w:rsid w:val="0051637A"/>
    <w:rsid w:val="005345E6"/>
    <w:rsid w:val="005451DE"/>
    <w:rsid w:val="005511F3"/>
    <w:rsid w:val="0055741E"/>
    <w:rsid w:val="00561A21"/>
    <w:rsid w:val="00562798"/>
    <w:rsid w:val="00565310"/>
    <w:rsid w:val="00577B2F"/>
    <w:rsid w:val="00590CEA"/>
    <w:rsid w:val="005B0B52"/>
    <w:rsid w:val="005B1BB1"/>
    <w:rsid w:val="005B1DF5"/>
    <w:rsid w:val="005B4C13"/>
    <w:rsid w:val="005B54A1"/>
    <w:rsid w:val="005B6FFA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73197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C5509"/>
    <w:rsid w:val="006C68AA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72CB8"/>
    <w:rsid w:val="007734C3"/>
    <w:rsid w:val="00781FCF"/>
    <w:rsid w:val="0078256F"/>
    <w:rsid w:val="00786021"/>
    <w:rsid w:val="00786C15"/>
    <w:rsid w:val="00790529"/>
    <w:rsid w:val="00796431"/>
    <w:rsid w:val="007A0D91"/>
    <w:rsid w:val="007A2145"/>
    <w:rsid w:val="007A6027"/>
    <w:rsid w:val="007A6E14"/>
    <w:rsid w:val="007A7F4A"/>
    <w:rsid w:val="007B3E13"/>
    <w:rsid w:val="007E504B"/>
    <w:rsid w:val="00803C6D"/>
    <w:rsid w:val="00824F19"/>
    <w:rsid w:val="008266EC"/>
    <w:rsid w:val="00833148"/>
    <w:rsid w:val="00857945"/>
    <w:rsid w:val="008819A5"/>
    <w:rsid w:val="00882077"/>
    <w:rsid w:val="00883ECF"/>
    <w:rsid w:val="0088580B"/>
    <w:rsid w:val="0089395F"/>
    <w:rsid w:val="008961E1"/>
    <w:rsid w:val="008A067C"/>
    <w:rsid w:val="008A23FA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94FE4"/>
    <w:rsid w:val="009A2B1D"/>
    <w:rsid w:val="009B2C02"/>
    <w:rsid w:val="009B6626"/>
    <w:rsid w:val="009C4F09"/>
    <w:rsid w:val="009C51A6"/>
    <w:rsid w:val="009D0A6D"/>
    <w:rsid w:val="009D7097"/>
    <w:rsid w:val="009D7480"/>
    <w:rsid w:val="009E6BEB"/>
    <w:rsid w:val="009F1E73"/>
    <w:rsid w:val="009F21DF"/>
    <w:rsid w:val="009F371E"/>
    <w:rsid w:val="009F4A1C"/>
    <w:rsid w:val="009F5E2E"/>
    <w:rsid w:val="009F6C4E"/>
    <w:rsid w:val="00A00E1F"/>
    <w:rsid w:val="00A00FFE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140B1"/>
    <w:rsid w:val="00B22D27"/>
    <w:rsid w:val="00B27A3E"/>
    <w:rsid w:val="00B366C2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F4DF5"/>
    <w:rsid w:val="00BF5CFD"/>
    <w:rsid w:val="00BF7EB2"/>
    <w:rsid w:val="00C018A0"/>
    <w:rsid w:val="00C02282"/>
    <w:rsid w:val="00C070D0"/>
    <w:rsid w:val="00C1198B"/>
    <w:rsid w:val="00C14428"/>
    <w:rsid w:val="00C245A5"/>
    <w:rsid w:val="00C265C0"/>
    <w:rsid w:val="00C31F34"/>
    <w:rsid w:val="00C326B7"/>
    <w:rsid w:val="00C345B1"/>
    <w:rsid w:val="00C361EB"/>
    <w:rsid w:val="00C3697F"/>
    <w:rsid w:val="00C40E18"/>
    <w:rsid w:val="00C476C7"/>
    <w:rsid w:val="00C47C3F"/>
    <w:rsid w:val="00C47F9F"/>
    <w:rsid w:val="00C50710"/>
    <w:rsid w:val="00C53254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3F0E"/>
    <w:rsid w:val="00C857A9"/>
    <w:rsid w:val="00C87478"/>
    <w:rsid w:val="00C90FC6"/>
    <w:rsid w:val="00C971AD"/>
    <w:rsid w:val="00CA3910"/>
    <w:rsid w:val="00CA4744"/>
    <w:rsid w:val="00CA6C00"/>
    <w:rsid w:val="00CB3514"/>
    <w:rsid w:val="00CC4274"/>
    <w:rsid w:val="00CC760F"/>
    <w:rsid w:val="00CD3883"/>
    <w:rsid w:val="00CD587B"/>
    <w:rsid w:val="00CD6C3B"/>
    <w:rsid w:val="00CD762E"/>
    <w:rsid w:val="00CE6F15"/>
    <w:rsid w:val="00D14D32"/>
    <w:rsid w:val="00D214C1"/>
    <w:rsid w:val="00D238BF"/>
    <w:rsid w:val="00D24DB6"/>
    <w:rsid w:val="00D3464E"/>
    <w:rsid w:val="00D4355E"/>
    <w:rsid w:val="00D52B23"/>
    <w:rsid w:val="00D54750"/>
    <w:rsid w:val="00D552E6"/>
    <w:rsid w:val="00D622CC"/>
    <w:rsid w:val="00D76276"/>
    <w:rsid w:val="00D90B03"/>
    <w:rsid w:val="00D92B74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1A4E"/>
    <w:rsid w:val="00DE4C28"/>
    <w:rsid w:val="00DF1D34"/>
    <w:rsid w:val="00DF4DC0"/>
    <w:rsid w:val="00DF645D"/>
    <w:rsid w:val="00DF7450"/>
    <w:rsid w:val="00E001A2"/>
    <w:rsid w:val="00E10FA4"/>
    <w:rsid w:val="00E13AD9"/>
    <w:rsid w:val="00E16E7F"/>
    <w:rsid w:val="00E20C4D"/>
    <w:rsid w:val="00E25CE8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6290"/>
    <w:rsid w:val="00E8094B"/>
    <w:rsid w:val="00EA5823"/>
    <w:rsid w:val="00EA5F2A"/>
    <w:rsid w:val="00EB1AEC"/>
    <w:rsid w:val="00EB3094"/>
    <w:rsid w:val="00EC4E33"/>
    <w:rsid w:val="00EC6D57"/>
    <w:rsid w:val="00ED4BC0"/>
    <w:rsid w:val="00ED6F42"/>
    <w:rsid w:val="00EE32AF"/>
    <w:rsid w:val="00EE4082"/>
    <w:rsid w:val="00EE6DA8"/>
    <w:rsid w:val="00EF1438"/>
    <w:rsid w:val="00EF56D4"/>
    <w:rsid w:val="00EF5A57"/>
    <w:rsid w:val="00F02ABC"/>
    <w:rsid w:val="00F064B4"/>
    <w:rsid w:val="00F06F72"/>
    <w:rsid w:val="00F17B92"/>
    <w:rsid w:val="00F23187"/>
    <w:rsid w:val="00F33748"/>
    <w:rsid w:val="00F3698E"/>
    <w:rsid w:val="00F37676"/>
    <w:rsid w:val="00F40B17"/>
    <w:rsid w:val="00F432F2"/>
    <w:rsid w:val="00F43612"/>
    <w:rsid w:val="00F4539A"/>
    <w:rsid w:val="00F6528B"/>
    <w:rsid w:val="00F7010C"/>
    <w:rsid w:val="00F91976"/>
    <w:rsid w:val="00FA1621"/>
    <w:rsid w:val="00FA698F"/>
    <w:rsid w:val="00FB169D"/>
    <w:rsid w:val="00FB5DD6"/>
    <w:rsid w:val="00FB6AE9"/>
    <w:rsid w:val="00FC46D3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0FF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0FFE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0FF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0FFE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://www.facebook.com/Congatec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congatec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ongatec.com/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3730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AG appoints Matthias Klein to the Executive Board</dc:title>
  <dc:creator/>
  <cp:keywords>Press Release</cp:keywords>
  <cp:lastModifiedBy/>
  <cp:revision>1</cp:revision>
  <dcterms:created xsi:type="dcterms:W3CDTF">2014-08-22T13:19:00Z</dcterms:created>
  <dcterms:modified xsi:type="dcterms:W3CDTF">2014-08-22T16:57:00Z</dcterms:modified>
</cp:coreProperties>
</file>